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29D87" w14:textId="77777777" w:rsidR="00E4739D" w:rsidRDefault="000D6640">
      <w:pPr>
        <w:spacing w:after="120"/>
        <w:jc w:val="center"/>
        <w:rPr>
          <w:sz w:val="28"/>
          <w:szCs w:val="28"/>
        </w:rPr>
      </w:pPr>
      <w:r>
        <w:rPr>
          <w:rFonts w:ascii="Bookman Old Style" w:eastAsia="Bookman Old Style" w:hAnsi="Bookman Old Style" w:cs="Bookman Old Style"/>
          <w:b/>
          <w:bCs/>
          <w:sz w:val="28"/>
          <w:szCs w:val="28"/>
        </w:rPr>
        <w:t>Ver. 3.0</w:t>
      </w:r>
    </w:p>
    <w:p w14:paraId="7EC214E3" w14:textId="77777777" w:rsidR="00E4739D" w:rsidRDefault="000D6640">
      <w:pPr>
        <w:spacing w:after="120"/>
        <w:jc w:val="center"/>
        <w:rPr>
          <w:sz w:val="28"/>
          <w:szCs w:val="28"/>
        </w:rPr>
      </w:pPr>
      <w:r>
        <w:rPr>
          <w:rFonts w:ascii="Bookman Old Style" w:eastAsia="Bookman Old Style" w:hAnsi="Bookman Old Style" w:cs="Bookman Old Style"/>
          <w:b/>
          <w:bCs/>
          <w:sz w:val="28"/>
          <w:szCs w:val="28"/>
        </w:rPr>
        <w:t>COMUNE DI SOLARINO</w:t>
      </w:r>
    </w:p>
    <w:p w14:paraId="76A8484A" w14:textId="77777777" w:rsidR="00E4739D" w:rsidRDefault="000D6640">
      <w:pPr>
        <w:spacing w:after="40"/>
        <w:jc w:val="center"/>
        <w:rPr>
          <w:rFonts w:ascii="Bookman Old Style" w:eastAsia="Bookman Old Style" w:hAnsi="Bookman Old Style" w:cs="Bookman Old Style"/>
          <w:b/>
          <w:bCs/>
          <w:color w:val="000000"/>
        </w:rPr>
      </w:pPr>
      <w:r>
        <w:rPr>
          <w:rFonts w:ascii="Bookman Old Style" w:eastAsia="Bookman Old Style" w:hAnsi="Bookman Old Style" w:cs="Bookman Old Style"/>
          <w:b/>
          <w:bCs/>
          <w:color w:val="000000"/>
        </w:rPr>
        <w:t>Libero Consorzio Comunale di Siracusa</w:t>
      </w:r>
    </w:p>
    <w:p w14:paraId="30EA3A97" w14:textId="77777777" w:rsidR="00E4739D" w:rsidRDefault="000D6640">
      <w:pPr>
        <w:tabs>
          <w:tab w:val="left" w:pos="7951"/>
        </w:tabs>
        <w:spacing w:after="40" w:line="276" w:lineRule="auto"/>
        <w:ind w:left="757"/>
        <w:jc w:val="both"/>
        <w:rPr>
          <w:rFonts w:ascii="Bookman Old Style" w:eastAsia="Bookman Old Style" w:hAnsi="Bookman Old Style" w:cs="Bookman Old Style"/>
          <w:b/>
          <w:bCs/>
          <w:color w:val="000000"/>
        </w:rPr>
      </w:pPr>
      <w:r>
        <w:rPr>
          <w:rFonts w:ascii="Bookman Old Style" w:eastAsia="Bookman Old Style" w:hAnsi="Bookman Old Style" w:cs="Bookman Old Style"/>
          <w:b/>
          <w:bCs/>
          <w:color w:val="000000"/>
        </w:rPr>
        <w:tab/>
      </w:r>
    </w:p>
    <w:p w14:paraId="24D68880" w14:textId="77777777" w:rsidR="00E4739D" w:rsidRDefault="00E4739D">
      <w:pPr>
        <w:spacing w:after="40" w:line="276" w:lineRule="auto"/>
        <w:ind w:left="757"/>
        <w:jc w:val="center"/>
        <w:rPr>
          <w:rFonts w:ascii="Bookman Old Style" w:eastAsia="Bookman Old Style" w:hAnsi="Bookman Old Style" w:cs="Bookman Old Style"/>
          <w:b/>
          <w:bCs/>
          <w:color w:val="000000"/>
        </w:rPr>
      </w:pPr>
    </w:p>
    <w:p w14:paraId="553F6194" w14:textId="77777777" w:rsidR="00E4739D" w:rsidRDefault="00E4739D">
      <w:pPr>
        <w:spacing w:after="40" w:line="276" w:lineRule="auto"/>
        <w:ind w:left="757"/>
        <w:jc w:val="center"/>
        <w:rPr>
          <w:rFonts w:ascii="Bookman Old Style" w:eastAsia="Bookman Old Style" w:hAnsi="Bookman Old Style" w:cs="Bookman Old Style"/>
          <w:b/>
          <w:bCs/>
          <w:color w:val="000000"/>
        </w:rPr>
      </w:pPr>
    </w:p>
    <w:p w14:paraId="7B8F44C0" w14:textId="77777777" w:rsidR="00E4739D" w:rsidRDefault="000D6640">
      <w:pPr>
        <w:spacing w:after="40" w:line="276" w:lineRule="auto"/>
        <w:ind w:left="757"/>
        <w:jc w:val="center"/>
        <w:rPr>
          <w:rFonts w:ascii="Bookman Old Style" w:eastAsia="Bookman Old Style" w:hAnsi="Bookman Old Style" w:cs="Bookman Old Style"/>
          <w:b/>
          <w:bCs/>
          <w:color w:val="000000"/>
        </w:rPr>
      </w:pPr>
      <w:r>
        <w:rPr>
          <w:rFonts w:ascii="Bookman Old Style" w:eastAsia="Bookman Old Style" w:hAnsi="Bookman Old Style" w:cs="Bookman Old Style"/>
          <w:b/>
          <w:bCs/>
          <w:color w:val="000000"/>
        </w:rPr>
        <w:t>REGOLAMENTO PER LA DEFINIZIONE AGEVOLATA DELLE ENTRATE COMUNALI</w:t>
      </w:r>
    </w:p>
    <w:p w14:paraId="424D7FB9" w14:textId="77777777" w:rsidR="00E4739D" w:rsidRDefault="00E4739D">
      <w:pPr>
        <w:pStyle w:val="Titolo"/>
        <w:spacing w:after="120" w:line="288" w:lineRule="auto"/>
        <w:rPr>
          <w:rFonts w:ascii="Bookman Old Style" w:eastAsia="Bookman Old Style" w:hAnsi="Bookman Old Style" w:cs="Bookman Old Style"/>
          <w:sz w:val="22"/>
          <w:szCs w:val="22"/>
        </w:rPr>
      </w:pPr>
    </w:p>
    <w:p w14:paraId="3229AD5B" w14:textId="77777777" w:rsidR="00E4739D" w:rsidRDefault="00E4739D">
      <w:pPr>
        <w:spacing w:after="120" w:line="288" w:lineRule="auto"/>
        <w:jc w:val="center"/>
        <w:rPr>
          <w:rFonts w:ascii="Bookman Old Style" w:eastAsia="Bookman Old Style" w:hAnsi="Bookman Old Style" w:cs="Bookman Old Style"/>
        </w:rPr>
      </w:pPr>
    </w:p>
    <w:sdt>
      <w:sdtPr>
        <w:rPr>
          <w:rFonts w:ascii="Calibri" w:eastAsia="Calibri" w:hAnsi="Calibri" w:cs="Calibri"/>
          <w:color w:val="auto"/>
          <w:sz w:val="22"/>
          <w:szCs w:val="22"/>
        </w:rPr>
        <w:id w:val="1349676802"/>
        <w:docPartObj>
          <w:docPartGallery w:val="Table of Contents"/>
          <w:docPartUnique/>
        </w:docPartObj>
      </w:sdtPr>
      <w:sdtContent>
        <w:p w14:paraId="03EC4B09" w14:textId="77777777" w:rsidR="00E4739D" w:rsidRDefault="000D6640">
          <w:pPr>
            <w:pStyle w:val="Titolosommario"/>
          </w:pPr>
          <w:r>
            <w:t>Sommario</w:t>
          </w:r>
        </w:p>
        <w:p w14:paraId="1B075CFB" w14:textId="77777777" w:rsidR="00E4739D" w:rsidRDefault="000D6640">
          <w:pPr>
            <w:pStyle w:val="Sommario3"/>
            <w:tabs>
              <w:tab w:val="right" w:leader="dot" w:pos="9628"/>
            </w:tabs>
          </w:pPr>
          <w:r>
            <w:fldChar w:fldCharType="begin"/>
          </w:r>
          <w:r>
            <w:rPr>
              <w:rStyle w:val="Collegamentoindice"/>
              <w:rFonts w:ascii="Bookman Old Style" w:eastAsia="Bookman Old Style" w:hAnsi="Bookman Old Style" w:cs="Bookman Old Style"/>
              <w:webHidden/>
            </w:rPr>
            <w:instrText xml:space="preserve"> TOC \z \o "1-3" \u \h</w:instrText>
          </w:r>
          <w:r>
            <w:rPr>
              <w:rStyle w:val="Collegamentoindice"/>
              <w:rFonts w:ascii="Bookman Old Style" w:eastAsia="Bookman Old Style" w:hAnsi="Bookman Old Style" w:cs="Bookman Old Style"/>
            </w:rPr>
            <w:fldChar w:fldCharType="separate"/>
          </w:r>
          <w:hyperlink w:anchor="_Toc226481602">
            <w:r>
              <w:rPr>
                <w:rStyle w:val="Collegamentoindice"/>
                <w:rFonts w:ascii="Bookman Old Style" w:eastAsia="Bookman Old Style" w:hAnsi="Bookman Old Style" w:cs="Bookman Old Style"/>
                <w:webHidden/>
              </w:rPr>
              <w:t>PARTE I- DEFINIZIONE AGEVOLATA ENTRATE IN RISCOSSIONE COATTIVA</w:t>
            </w:r>
            <w:r>
              <w:rPr>
                <w:webHidden/>
              </w:rPr>
              <w:fldChar w:fldCharType="begin"/>
            </w:r>
            <w:r>
              <w:rPr>
                <w:webHidden/>
              </w:rPr>
              <w:instrText>PAGEREF _Toc226481602 \h</w:instrText>
            </w:r>
            <w:r>
              <w:rPr>
                <w:webHidden/>
              </w:rPr>
            </w:r>
            <w:r>
              <w:rPr>
                <w:webHidden/>
              </w:rPr>
              <w:fldChar w:fldCharType="separate"/>
            </w:r>
            <w:r>
              <w:rPr>
                <w:rStyle w:val="Collegamentoindice"/>
              </w:rPr>
              <w:tab/>
              <w:t>2</w:t>
            </w:r>
            <w:r>
              <w:rPr>
                <w:webHidden/>
              </w:rPr>
              <w:fldChar w:fldCharType="end"/>
            </w:r>
          </w:hyperlink>
        </w:p>
        <w:p w14:paraId="0486D251" w14:textId="77777777" w:rsidR="00E4739D" w:rsidRDefault="000D6640">
          <w:pPr>
            <w:pStyle w:val="Sommario3"/>
            <w:tabs>
              <w:tab w:val="right" w:leader="dot" w:pos="9628"/>
            </w:tabs>
          </w:pPr>
          <w:hyperlink w:anchor="_Toc226481603">
            <w:r>
              <w:rPr>
                <w:rStyle w:val="Collegamentoindice"/>
                <w:rFonts w:ascii="Bookman Old Style" w:eastAsia="Bookman Old Style" w:hAnsi="Bookman Old Style" w:cs="Bookman Old Style"/>
                <w:webHidden/>
              </w:rPr>
              <w:t>Articolo 1 - Oggetto del Regolamento</w:t>
            </w:r>
            <w:r>
              <w:rPr>
                <w:webHidden/>
              </w:rPr>
              <w:fldChar w:fldCharType="begin"/>
            </w:r>
            <w:r>
              <w:rPr>
                <w:webHidden/>
              </w:rPr>
              <w:instrText>PAGEREF _Toc226481603 \h</w:instrText>
            </w:r>
            <w:r>
              <w:rPr>
                <w:webHidden/>
              </w:rPr>
            </w:r>
            <w:r>
              <w:rPr>
                <w:webHidden/>
              </w:rPr>
              <w:fldChar w:fldCharType="separate"/>
            </w:r>
            <w:r>
              <w:rPr>
                <w:rStyle w:val="Collegamentoindice"/>
              </w:rPr>
              <w:tab/>
              <w:t>2</w:t>
            </w:r>
            <w:r>
              <w:rPr>
                <w:webHidden/>
              </w:rPr>
              <w:fldChar w:fldCharType="end"/>
            </w:r>
          </w:hyperlink>
        </w:p>
        <w:p w14:paraId="433F2BB1" w14:textId="77777777" w:rsidR="00E4739D" w:rsidRDefault="000D6640">
          <w:pPr>
            <w:pStyle w:val="Sommario3"/>
            <w:tabs>
              <w:tab w:val="right" w:leader="dot" w:pos="9628"/>
            </w:tabs>
          </w:pPr>
          <w:hyperlink w:anchor="_Toc226481604">
            <w:r>
              <w:rPr>
                <w:rStyle w:val="Collegamentoindice"/>
                <w:rFonts w:ascii="Bookman Old Style" w:eastAsia="Bookman Old Style" w:hAnsi="Bookman Old Style" w:cs="Bookman Old Style"/>
                <w:webHidden/>
              </w:rPr>
              <w:t>Articolo 2 – Oggetto della definizione agevolata</w:t>
            </w:r>
            <w:r>
              <w:rPr>
                <w:webHidden/>
              </w:rPr>
              <w:fldChar w:fldCharType="begin"/>
            </w:r>
            <w:r>
              <w:rPr>
                <w:webHidden/>
              </w:rPr>
              <w:instrText>PAGEREF _Toc226481604 \h</w:instrText>
            </w:r>
            <w:r>
              <w:rPr>
                <w:webHidden/>
              </w:rPr>
            </w:r>
            <w:r>
              <w:rPr>
                <w:webHidden/>
              </w:rPr>
              <w:fldChar w:fldCharType="separate"/>
            </w:r>
            <w:r>
              <w:rPr>
                <w:rStyle w:val="Collegamentoindice"/>
              </w:rPr>
              <w:tab/>
              <w:t>2</w:t>
            </w:r>
            <w:r>
              <w:rPr>
                <w:webHidden/>
              </w:rPr>
              <w:fldChar w:fldCharType="end"/>
            </w:r>
          </w:hyperlink>
        </w:p>
        <w:p w14:paraId="697BFCF7" w14:textId="77777777" w:rsidR="00E4739D" w:rsidRDefault="000D6640">
          <w:pPr>
            <w:pStyle w:val="Sommario3"/>
            <w:tabs>
              <w:tab w:val="right" w:leader="dot" w:pos="9628"/>
            </w:tabs>
          </w:pPr>
          <w:hyperlink w:anchor="_Toc226481605">
            <w:r>
              <w:rPr>
                <w:rStyle w:val="Collegamentoindice"/>
                <w:rFonts w:ascii="Bookman Old Style" w:eastAsia="Bookman Old Style" w:hAnsi="Bookman Old Style" w:cs="Bookman Old Style"/>
                <w:webHidden/>
              </w:rPr>
              <w:t>Articolo 3 – Dichiarazione di adesione alla definizione agevolata</w:t>
            </w:r>
            <w:r>
              <w:rPr>
                <w:webHidden/>
              </w:rPr>
              <w:fldChar w:fldCharType="begin"/>
            </w:r>
            <w:r>
              <w:rPr>
                <w:webHidden/>
              </w:rPr>
              <w:instrText>PAGEREF _Toc226481605 \h</w:instrText>
            </w:r>
            <w:r>
              <w:rPr>
                <w:webHidden/>
              </w:rPr>
            </w:r>
            <w:r>
              <w:rPr>
                <w:webHidden/>
              </w:rPr>
              <w:fldChar w:fldCharType="separate"/>
            </w:r>
            <w:r>
              <w:rPr>
                <w:rStyle w:val="Collegamentoindice"/>
              </w:rPr>
              <w:tab/>
              <w:t>2</w:t>
            </w:r>
            <w:r>
              <w:rPr>
                <w:webHidden/>
              </w:rPr>
              <w:fldChar w:fldCharType="end"/>
            </w:r>
          </w:hyperlink>
        </w:p>
        <w:p w14:paraId="54A47D80" w14:textId="77777777" w:rsidR="00E4739D" w:rsidRDefault="000D6640">
          <w:pPr>
            <w:pStyle w:val="Sommario3"/>
            <w:tabs>
              <w:tab w:val="right" w:leader="dot" w:pos="9628"/>
            </w:tabs>
          </w:pPr>
          <w:hyperlink w:anchor="_Toc226481606">
            <w:r>
              <w:rPr>
                <w:rStyle w:val="Collegamentoindice"/>
                <w:rFonts w:ascii="Bookman Old Style" w:eastAsia="Bookman Old Style" w:hAnsi="Bookman Old Style" w:cs="Bookman Old Style"/>
                <w:webHidden/>
              </w:rPr>
              <w:t>Articolo 4 – Effetti della definizione agevolata</w:t>
            </w:r>
            <w:r>
              <w:rPr>
                <w:webHidden/>
              </w:rPr>
              <w:fldChar w:fldCharType="begin"/>
            </w:r>
            <w:r>
              <w:rPr>
                <w:webHidden/>
              </w:rPr>
              <w:instrText>PAGEREF _Toc226481606 \h</w:instrText>
            </w:r>
            <w:r>
              <w:rPr>
                <w:webHidden/>
              </w:rPr>
            </w:r>
            <w:r>
              <w:rPr>
                <w:webHidden/>
              </w:rPr>
              <w:fldChar w:fldCharType="separate"/>
            </w:r>
            <w:r>
              <w:rPr>
                <w:rStyle w:val="Collegamentoindice"/>
              </w:rPr>
              <w:tab/>
              <w:t>4</w:t>
            </w:r>
            <w:r>
              <w:rPr>
                <w:webHidden/>
              </w:rPr>
              <w:fldChar w:fldCharType="end"/>
            </w:r>
          </w:hyperlink>
        </w:p>
        <w:p w14:paraId="456F754F" w14:textId="77777777" w:rsidR="00E4739D" w:rsidRDefault="000D6640">
          <w:pPr>
            <w:pStyle w:val="Sommario3"/>
            <w:tabs>
              <w:tab w:val="right" w:leader="dot" w:pos="9628"/>
            </w:tabs>
          </w:pPr>
          <w:hyperlink w:anchor="_Toc226481607">
            <w:r>
              <w:rPr>
                <w:rStyle w:val="Collegamentoindice"/>
                <w:rFonts w:ascii="Bookman Old Style" w:eastAsia="Bookman Old Style" w:hAnsi="Bookman Old Style" w:cs="Bookman Old Style"/>
                <w:webHidden/>
              </w:rPr>
              <w:t>Articolo 5 – Definizione agevolata degli importi oggetto di rateizzazione</w:t>
            </w:r>
            <w:r>
              <w:rPr>
                <w:webHidden/>
              </w:rPr>
              <w:fldChar w:fldCharType="begin"/>
            </w:r>
            <w:r>
              <w:rPr>
                <w:webHidden/>
              </w:rPr>
              <w:instrText>PAGEREF _Toc226481607 \h</w:instrText>
            </w:r>
            <w:r>
              <w:rPr>
                <w:webHidden/>
              </w:rPr>
            </w:r>
            <w:r>
              <w:rPr>
                <w:webHidden/>
              </w:rPr>
              <w:fldChar w:fldCharType="separate"/>
            </w:r>
            <w:r>
              <w:rPr>
                <w:rStyle w:val="Collegamentoindice"/>
              </w:rPr>
              <w:tab/>
              <w:t>4</w:t>
            </w:r>
            <w:r>
              <w:rPr>
                <w:webHidden/>
              </w:rPr>
              <w:fldChar w:fldCharType="end"/>
            </w:r>
          </w:hyperlink>
        </w:p>
        <w:p w14:paraId="5FF4416C" w14:textId="77777777" w:rsidR="00E4739D" w:rsidRDefault="000D6640">
          <w:pPr>
            <w:pStyle w:val="Sommario3"/>
            <w:tabs>
              <w:tab w:val="right" w:leader="dot" w:pos="9628"/>
            </w:tabs>
          </w:pPr>
          <w:hyperlink w:anchor="_Toc226481608">
            <w:r>
              <w:rPr>
                <w:rStyle w:val="Collegamentoindice"/>
                <w:rFonts w:ascii="Bookman Old Style" w:eastAsia="Bookman Old Style" w:hAnsi="Bookman Old Style" w:cs="Bookman Old Style"/>
                <w:webHidden/>
              </w:rPr>
              <w:t>Articolo 6 – Procedure cautelari ed esecutive in corso</w:t>
            </w:r>
            <w:r>
              <w:rPr>
                <w:webHidden/>
              </w:rPr>
              <w:fldChar w:fldCharType="begin"/>
            </w:r>
            <w:r>
              <w:rPr>
                <w:webHidden/>
              </w:rPr>
              <w:instrText>PAGEREF _Toc226481608 \h</w:instrText>
            </w:r>
            <w:r>
              <w:rPr>
                <w:webHidden/>
              </w:rPr>
            </w:r>
            <w:r>
              <w:rPr>
                <w:webHidden/>
              </w:rPr>
              <w:fldChar w:fldCharType="separate"/>
            </w:r>
            <w:r>
              <w:rPr>
                <w:rStyle w:val="Collegamentoindice"/>
              </w:rPr>
              <w:tab/>
              <w:t>4</w:t>
            </w:r>
            <w:r>
              <w:rPr>
                <w:webHidden/>
              </w:rPr>
              <w:fldChar w:fldCharType="end"/>
            </w:r>
          </w:hyperlink>
        </w:p>
        <w:p w14:paraId="387EB163" w14:textId="77777777" w:rsidR="00E4739D" w:rsidRDefault="000D6640">
          <w:pPr>
            <w:pStyle w:val="Sommario3"/>
            <w:tabs>
              <w:tab w:val="right" w:leader="dot" w:pos="9628"/>
            </w:tabs>
          </w:pPr>
          <w:hyperlink w:anchor="_Toc226481609">
            <w:r>
              <w:rPr>
                <w:rStyle w:val="Collegamentoindice"/>
                <w:rFonts w:ascii="Bookman Old Style" w:eastAsia="Bookman Old Style" w:hAnsi="Bookman Old Style" w:cs="Bookman Old Style"/>
                <w:webHidden/>
              </w:rPr>
              <w:t>Articolo 7 – Rinuncia al contenzioso pendente</w:t>
            </w:r>
            <w:r>
              <w:rPr>
                <w:webHidden/>
              </w:rPr>
              <w:fldChar w:fldCharType="begin"/>
            </w:r>
            <w:r>
              <w:rPr>
                <w:webHidden/>
              </w:rPr>
              <w:instrText>PAGEREF _Toc226481609 \h</w:instrText>
            </w:r>
            <w:r>
              <w:rPr>
                <w:webHidden/>
              </w:rPr>
            </w:r>
            <w:r>
              <w:rPr>
                <w:webHidden/>
              </w:rPr>
              <w:fldChar w:fldCharType="separate"/>
            </w:r>
            <w:r>
              <w:rPr>
                <w:rStyle w:val="Collegamentoindice"/>
              </w:rPr>
              <w:tab/>
              <w:t>4</w:t>
            </w:r>
            <w:r>
              <w:rPr>
                <w:webHidden/>
              </w:rPr>
              <w:fldChar w:fldCharType="end"/>
            </w:r>
          </w:hyperlink>
        </w:p>
        <w:p w14:paraId="6F68050B" w14:textId="77777777" w:rsidR="00E4739D" w:rsidRDefault="000D6640">
          <w:pPr>
            <w:pStyle w:val="Sommario3"/>
            <w:tabs>
              <w:tab w:val="right" w:leader="dot" w:pos="9628"/>
            </w:tabs>
          </w:pPr>
          <w:hyperlink w:anchor="_Toc226481610">
            <w:r>
              <w:rPr>
                <w:rStyle w:val="Collegamentoindice"/>
                <w:rFonts w:ascii="Bookman Old Style" w:eastAsia="Bookman Old Style" w:hAnsi="Bookman Old Style" w:cs="Bookman Old Style"/>
                <w:webHidden/>
              </w:rPr>
              <w:t>Articolo 8 – Entrata in vigore</w:t>
            </w:r>
            <w:r>
              <w:rPr>
                <w:webHidden/>
              </w:rPr>
              <w:fldChar w:fldCharType="begin"/>
            </w:r>
            <w:r>
              <w:rPr>
                <w:webHidden/>
              </w:rPr>
              <w:instrText>PAGEREF _Toc226481610 \h</w:instrText>
            </w:r>
            <w:r>
              <w:rPr>
                <w:webHidden/>
              </w:rPr>
            </w:r>
            <w:r>
              <w:rPr>
                <w:webHidden/>
              </w:rPr>
              <w:fldChar w:fldCharType="separate"/>
            </w:r>
            <w:r>
              <w:rPr>
                <w:rStyle w:val="Collegamentoindice"/>
              </w:rPr>
              <w:tab/>
              <w:t>5</w:t>
            </w:r>
            <w:r>
              <w:rPr>
                <w:webHidden/>
              </w:rPr>
              <w:fldChar w:fldCharType="end"/>
            </w:r>
          </w:hyperlink>
        </w:p>
        <w:p w14:paraId="04966E49" w14:textId="77777777" w:rsidR="00E4739D" w:rsidRDefault="000D6640">
          <w:pPr>
            <w:pStyle w:val="Sommario3"/>
            <w:tabs>
              <w:tab w:val="right" w:leader="dot" w:pos="9628"/>
            </w:tabs>
          </w:pPr>
          <w:hyperlink w:anchor="_Toc226481611">
            <w:r>
              <w:rPr>
                <w:rStyle w:val="Collegamentoindice"/>
                <w:rFonts w:ascii="Bookman Old Style" w:eastAsia="Bookman Old Style" w:hAnsi="Bookman Old Style" w:cs="Bookman Old Style"/>
                <w:webHidden/>
              </w:rPr>
              <w:t>PARTE II- DEFINIZIONE AGEVOLATA DELLE LITI PENDENTI</w:t>
            </w:r>
            <w:r>
              <w:rPr>
                <w:webHidden/>
              </w:rPr>
              <w:fldChar w:fldCharType="begin"/>
            </w:r>
            <w:r>
              <w:rPr>
                <w:webHidden/>
              </w:rPr>
              <w:instrText>PAGEREF _Toc226481611 \h</w:instrText>
            </w:r>
            <w:r>
              <w:rPr>
                <w:webHidden/>
              </w:rPr>
            </w:r>
            <w:r>
              <w:rPr>
                <w:webHidden/>
              </w:rPr>
              <w:fldChar w:fldCharType="separate"/>
            </w:r>
            <w:r>
              <w:rPr>
                <w:rStyle w:val="Collegamentoindice"/>
              </w:rPr>
              <w:tab/>
              <w:t>6</w:t>
            </w:r>
            <w:r>
              <w:rPr>
                <w:webHidden/>
              </w:rPr>
              <w:fldChar w:fldCharType="end"/>
            </w:r>
          </w:hyperlink>
        </w:p>
        <w:p w14:paraId="1A11A097" w14:textId="77777777" w:rsidR="00E4739D" w:rsidRDefault="000D6640">
          <w:pPr>
            <w:pStyle w:val="Sommario3"/>
            <w:tabs>
              <w:tab w:val="right" w:leader="dot" w:pos="9628"/>
            </w:tabs>
          </w:pPr>
          <w:hyperlink w:anchor="_Toc226481612">
            <w:r>
              <w:rPr>
                <w:rStyle w:val="Collegamentoindice"/>
                <w:rFonts w:ascii="Bookman Old Style" w:eastAsia="Bookman Old Style" w:hAnsi="Bookman Old Style" w:cs="Bookman Old Style"/>
                <w:webHidden/>
              </w:rPr>
              <w:t>Articolo 1 - Oggetto del Regolamento</w:t>
            </w:r>
            <w:r>
              <w:rPr>
                <w:webHidden/>
              </w:rPr>
              <w:fldChar w:fldCharType="begin"/>
            </w:r>
            <w:r>
              <w:rPr>
                <w:webHidden/>
              </w:rPr>
              <w:instrText>PAGEREF _Toc226481612 \h</w:instrText>
            </w:r>
            <w:r>
              <w:rPr>
                <w:webHidden/>
              </w:rPr>
            </w:r>
            <w:r>
              <w:rPr>
                <w:webHidden/>
              </w:rPr>
              <w:fldChar w:fldCharType="separate"/>
            </w:r>
            <w:r>
              <w:rPr>
                <w:rStyle w:val="Collegamentoindice"/>
              </w:rPr>
              <w:tab/>
              <w:t>6</w:t>
            </w:r>
            <w:r>
              <w:rPr>
                <w:webHidden/>
              </w:rPr>
              <w:fldChar w:fldCharType="end"/>
            </w:r>
          </w:hyperlink>
        </w:p>
        <w:p w14:paraId="314A91EE" w14:textId="77777777" w:rsidR="00E4739D" w:rsidRDefault="000D6640">
          <w:pPr>
            <w:pStyle w:val="Sommario3"/>
            <w:tabs>
              <w:tab w:val="right" w:leader="dot" w:pos="9628"/>
            </w:tabs>
          </w:pPr>
          <w:hyperlink w:anchor="_Toc226481613">
            <w:r>
              <w:rPr>
                <w:rStyle w:val="Collegamentoindice"/>
                <w:rFonts w:ascii="Bookman Old Style" w:eastAsia="Bookman Old Style" w:hAnsi="Bookman Old Style" w:cs="Bookman Old Style"/>
                <w:webHidden/>
              </w:rPr>
              <w:t>Articolo 2 – Oggetto della definizione agevolata</w:t>
            </w:r>
            <w:r>
              <w:rPr>
                <w:webHidden/>
              </w:rPr>
              <w:fldChar w:fldCharType="begin"/>
            </w:r>
            <w:r>
              <w:rPr>
                <w:webHidden/>
              </w:rPr>
              <w:instrText>PAGEREF _Toc226481613 \h</w:instrText>
            </w:r>
            <w:r>
              <w:rPr>
                <w:webHidden/>
              </w:rPr>
            </w:r>
            <w:r>
              <w:rPr>
                <w:webHidden/>
              </w:rPr>
              <w:fldChar w:fldCharType="separate"/>
            </w:r>
            <w:r>
              <w:rPr>
                <w:rStyle w:val="Collegamentoindice"/>
              </w:rPr>
              <w:tab/>
              <w:t>6</w:t>
            </w:r>
            <w:r>
              <w:rPr>
                <w:webHidden/>
              </w:rPr>
              <w:fldChar w:fldCharType="end"/>
            </w:r>
          </w:hyperlink>
        </w:p>
        <w:p w14:paraId="14CD1F78" w14:textId="77777777" w:rsidR="00E4739D" w:rsidRDefault="000D6640">
          <w:pPr>
            <w:pStyle w:val="Sommario3"/>
            <w:tabs>
              <w:tab w:val="right" w:leader="dot" w:pos="9628"/>
            </w:tabs>
          </w:pPr>
          <w:hyperlink w:anchor="_Toc226481614">
            <w:r>
              <w:rPr>
                <w:rStyle w:val="Collegamentoindice"/>
                <w:rFonts w:ascii="Bookman Old Style" w:eastAsia="Bookman Old Style" w:hAnsi="Bookman Old Style" w:cs="Bookman Old Style"/>
                <w:webHidden/>
              </w:rPr>
              <w:t>Articolo 3 – Termini e modalità di presentazione della domanda</w:t>
            </w:r>
            <w:r>
              <w:rPr>
                <w:webHidden/>
              </w:rPr>
              <w:fldChar w:fldCharType="begin"/>
            </w:r>
            <w:r>
              <w:rPr>
                <w:webHidden/>
              </w:rPr>
              <w:instrText>PAGEREF _Toc226481614 \h</w:instrText>
            </w:r>
            <w:r>
              <w:rPr>
                <w:webHidden/>
              </w:rPr>
            </w:r>
            <w:r>
              <w:rPr>
                <w:webHidden/>
              </w:rPr>
              <w:fldChar w:fldCharType="separate"/>
            </w:r>
            <w:r>
              <w:rPr>
                <w:rStyle w:val="Collegamentoindice"/>
              </w:rPr>
              <w:tab/>
              <w:t>6</w:t>
            </w:r>
            <w:r>
              <w:rPr>
                <w:webHidden/>
              </w:rPr>
              <w:fldChar w:fldCharType="end"/>
            </w:r>
          </w:hyperlink>
        </w:p>
        <w:p w14:paraId="1C3D076D" w14:textId="77777777" w:rsidR="00E4739D" w:rsidRDefault="000D6640">
          <w:pPr>
            <w:pStyle w:val="Sommario3"/>
            <w:tabs>
              <w:tab w:val="right" w:leader="dot" w:pos="9628"/>
            </w:tabs>
          </w:pPr>
          <w:hyperlink w:anchor="_Toc226481615">
            <w:r>
              <w:rPr>
                <w:rStyle w:val="Collegamentoindice"/>
                <w:rFonts w:ascii="Bookman Old Style" w:eastAsia="Bookman Old Style" w:hAnsi="Bookman Old Style" w:cs="Bookman Old Style"/>
                <w:webHidden/>
              </w:rPr>
              <w:t>Articolo 4 – Importi dovuti</w:t>
            </w:r>
            <w:r>
              <w:rPr>
                <w:webHidden/>
              </w:rPr>
              <w:fldChar w:fldCharType="begin"/>
            </w:r>
            <w:r>
              <w:rPr>
                <w:webHidden/>
              </w:rPr>
              <w:instrText>PAGEREF _Toc226481615 \h</w:instrText>
            </w:r>
            <w:r>
              <w:rPr>
                <w:webHidden/>
              </w:rPr>
            </w:r>
            <w:r>
              <w:rPr>
                <w:webHidden/>
              </w:rPr>
              <w:fldChar w:fldCharType="separate"/>
            </w:r>
            <w:r>
              <w:rPr>
                <w:rStyle w:val="Collegamentoindice"/>
              </w:rPr>
              <w:tab/>
              <w:t>6</w:t>
            </w:r>
            <w:r>
              <w:rPr>
                <w:webHidden/>
              </w:rPr>
              <w:fldChar w:fldCharType="end"/>
            </w:r>
          </w:hyperlink>
        </w:p>
        <w:p w14:paraId="6C52A95A" w14:textId="77777777" w:rsidR="00E4739D" w:rsidRDefault="000D6640">
          <w:pPr>
            <w:pStyle w:val="Sommario3"/>
            <w:tabs>
              <w:tab w:val="right" w:leader="dot" w:pos="9628"/>
            </w:tabs>
          </w:pPr>
          <w:hyperlink w:anchor="_Toc226481616">
            <w:r>
              <w:rPr>
                <w:rStyle w:val="Collegamentoindice"/>
                <w:rFonts w:ascii="Bookman Old Style" w:eastAsia="Bookman Old Style" w:hAnsi="Bookman Old Style" w:cs="Bookman Old Style"/>
                <w:webHidden/>
              </w:rPr>
              <w:t>Articolo 5 – Perfezionamento della definizione</w:t>
            </w:r>
            <w:r>
              <w:rPr>
                <w:webHidden/>
              </w:rPr>
              <w:fldChar w:fldCharType="begin"/>
            </w:r>
            <w:r>
              <w:rPr>
                <w:webHidden/>
              </w:rPr>
              <w:instrText>PAGEREF _Toc226481616 \h</w:instrText>
            </w:r>
            <w:r>
              <w:rPr>
                <w:webHidden/>
              </w:rPr>
            </w:r>
            <w:r>
              <w:rPr>
                <w:webHidden/>
              </w:rPr>
              <w:fldChar w:fldCharType="separate"/>
            </w:r>
            <w:r>
              <w:rPr>
                <w:rStyle w:val="Collegamentoindice"/>
              </w:rPr>
              <w:tab/>
              <w:t>7</w:t>
            </w:r>
            <w:r>
              <w:rPr>
                <w:webHidden/>
              </w:rPr>
              <w:fldChar w:fldCharType="end"/>
            </w:r>
          </w:hyperlink>
        </w:p>
        <w:p w14:paraId="3A37C9D9" w14:textId="77777777" w:rsidR="00E4739D" w:rsidRDefault="000D6640">
          <w:pPr>
            <w:pStyle w:val="Sommario3"/>
            <w:tabs>
              <w:tab w:val="right" w:leader="dot" w:pos="9628"/>
            </w:tabs>
          </w:pPr>
          <w:hyperlink w:anchor="_Toc226481617">
            <w:r>
              <w:rPr>
                <w:rStyle w:val="Collegamentoindice"/>
                <w:rFonts w:ascii="Bookman Old Style" w:eastAsia="Bookman Old Style" w:hAnsi="Bookman Old Style" w:cs="Bookman Old Style"/>
                <w:webHidden/>
              </w:rPr>
              <w:t>Articolo 6 – Diniego della definizione</w:t>
            </w:r>
            <w:r>
              <w:rPr>
                <w:webHidden/>
              </w:rPr>
              <w:fldChar w:fldCharType="begin"/>
            </w:r>
            <w:r>
              <w:rPr>
                <w:webHidden/>
              </w:rPr>
              <w:instrText>PAGEREF _Toc226481617 \h</w:instrText>
            </w:r>
            <w:r>
              <w:rPr>
                <w:webHidden/>
              </w:rPr>
            </w:r>
            <w:r>
              <w:rPr>
                <w:webHidden/>
              </w:rPr>
              <w:fldChar w:fldCharType="separate"/>
            </w:r>
            <w:r>
              <w:rPr>
                <w:rStyle w:val="Collegamentoindice"/>
              </w:rPr>
              <w:tab/>
              <w:t>8</w:t>
            </w:r>
            <w:r>
              <w:rPr>
                <w:webHidden/>
              </w:rPr>
              <w:fldChar w:fldCharType="end"/>
            </w:r>
          </w:hyperlink>
        </w:p>
        <w:p w14:paraId="09474FE5" w14:textId="77777777" w:rsidR="00E4739D" w:rsidRDefault="000D6640">
          <w:pPr>
            <w:pStyle w:val="Sommario3"/>
            <w:tabs>
              <w:tab w:val="right" w:leader="dot" w:pos="9628"/>
            </w:tabs>
          </w:pPr>
          <w:hyperlink w:anchor="_Toc226481618">
            <w:r>
              <w:rPr>
                <w:rStyle w:val="Collegamentoindice"/>
                <w:rFonts w:ascii="Bookman Old Style" w:eastAsia="Bookman Old Style" w:hAnsi="Bookman Old Style" w:cs="Bookman Old Style"/>
                <w:webHidden/>
              </w:rPr>
              <w:t>Articolo 7 – Sospensione del processo</w:t>
            </w:r>
            <w:r>
              <w:rPr>
                <w:webHidden/>
              </w:rPr>
              <w:fldChar w:fldCharType="begin"/>
            </w:r>
            <w:r>
              <w:rPr>
                <w:webHidden/>
              </w:rPr>
              <w:instrText>PAGEREF _Toc226481618 \h</w:instrText>
            </w:r>
            <w:r>
              <w:rPr>
                <w:webHidden/>
              </w:rPr>
            </w:r>
            <w:r>
              <w:rPr>
                <w:webHidden/>
              </w:rPr>
              <w:fldChar w:fldCharType="separate"/>
            </w:r>
            <w:r>
              <w:rPr>
                <w:rStyle w:val="Collegamentoindice"/>
              </w:rPr>
              <w:tab/>
              <w:t>8</w:t>
            </w:r>
            <w:r>
              <w:rPr>
                <w:webHidden/>
              </w:rPr>
              <w:fldChar w:fldCharType="end"/>
            </w:r>
          </w:hyperlink>
        </w:p>
        <w:p w14:paraId="0FD0B14D" w14:textId="77777777" w:rsidR="00E4739D" w:rsidRDefault="000D6640">
          <w:pPr>
            <w:pStyle w:val="Sommario3"/>
            <w:tabs>
              <w:tab w:val="right" w:leader="dot" w:pos="9628"/>
            </w:tabs>
          </w:pPr>
          <w:hyperlink w:anchor="_Toc226481619">
            <w:r>
              <w:rPr>
                <w:rStyle w:val="Collegamentoindice"/>
                <w:rFonts w:ascii="Bookman Old Style" w:eastAsia="Bookman Old Style" w:hAnsi="Bookman Old Style" w:cs="Bookman Old Style"/>
                <w:webHidden/>
              </w:rPr>
              <w:t>Articolo 8 – Entrata in vigore</w:t>
            </w:r>
            <w:r>
              <w:rPr>
                <w:webHidden/>
              </w:rPr>
              <w:fldChar w:fldCharType="begin"/>
            </w:r>
            <w:r>
              <w:rPr>
                <w:webHidden/>
              </w:rPr>
              <w:instrText>PAGEREF _Toc226481619 \h</w:instrText>
            </w:r>
            <w:r>
              <w:rPr>
                <w:webHidden/>
              </w:rPr>
            </w:r>
            <w:r>
              <w:rPr>
                <w:webHidden/>
              </w:rPr>
              <w:fldChar w:fldCharType="separate"/>
            </w:r>
            <w:r>
              <w:rPr>
                <w:rStyle w:val="Collegamentoindice"/>
              </w:rPr>
              <w:tab/>
              <w:t>8</w:t>
            </w:r>
            <w:r>
              <w:rPr>
                <w:webHidden/>
              </w:rPr>
              <w:fldChar w:fldCharType="end"/>
            </w:r>
          </w:hyperlink>
        </w:p>
        <w:p w14:paraId="542E97C9" w14:textId="77777777" w:rsidR="00E4739D" w:rsidRDefault="000D6640">
          <w:pPr>
            <w:pStyle w:val="Sommario3"/>
            <w:tabs>
              <w:tab w:val="right" w:leader="dot" w:pos="9628"/>
            </w:tabs>
          </w:pPr>
          <w:hyperlink w:anchor="_Toc226481620">
            <w:r>
              <w:rPr>
                <w:rStyle w:val="Collegamentoindice"/>
                <w:rFonts w:ascii="Bookman Old Style" w:eastAsia="Bookman Old Style" w:hAnsi="Bookman Old Style" w:cs="Bookman Old Style"/>
                <w:webHidden/>
              </w:rPr>
              <w:t>PARTE III- CONCILIAZIONE AGEVOLATA DEI RICORSI</w:t>
            </w:r>
            <w:r>
              <w:rPr>
                <w:webHidden/>
              </w:rPr>
              <w:fldChar w:fldCharType="begin"/>
            </w:r>
            <w:r>
              <w:rPr>
                <w:webHidden/>
              </w:rPr>
              <w:instrText>PAGEREF _Toc226481620 \h</w:instrText>
            </w:r>
            <w:r>
              <w:rPr>
                <w:webHidden/>
              </w:rPr>
            </w:r>
            <w:r>
              <w:rPr>
                <w:webHidden/>
              </w:rPr>
              <w:fldChar w:fldCharType="separate"/>
            </w:r>
            <w:r>
              <w:rPr>
                <w:rStyle w:val="Collegamentoindice"/>
              </w:rPr>
              <w:tab/>
              <w:t>9</w:t>
            </w:r>
            <w:r>
              <w:rPr>
                <w:webHidden/>
              </w:rPr>
              <w:fldChar w:fldCharType="end"/>
            </w:r>
          </w:hyperlink>
        </w:p>
        <w:p w14:paraId="1A81D86F" w14:textId="77777777" w:rsidR="00E4739D" w:rsidRDefault="000D6640">
          <w:pPr>
            <w:pStyle w:val="Sommario3"/>
            <w:tabs>
              <w:tab w:val="right" w:leader="dot" w:pos="9628"/>
            </w:tabs>
          </w:pPr>
          <w:hyperlink w:anchor="_Toc226481621">
            <w:r>
              <w:rPr>
                <w:rStyle w:val="Collegamentoindice"/>
                <w:rFonts w:ascii="Bookman Old Style" w:eastAsia="Bookman Old Style" w:hAnsi="Bookman Old Style" w:cs="Bookman Old Style"/>
                <w:webHidden/>
              </w:rPr>
              <w:t>Articolo 1 - Oggetto del Regolamento</w:t>
            </w:r>
            <w:r>
              <w:rPr>
                <w:webHidden/>
              </w:rPr>
              <w:fldChar w:fldCharType="begin"/>
            </w:r>
            <w:r>
              <w:rPr>
                <w:webHidden/>
              </w:rPr>
              <w:instrText>PAGEREF _Toc226481621 \h</w:instrText>
            </w:r>
            <w:r>
              <w:rPr>
                <w:webHidden/>
              </w:rPr>
            </w:r>
            <w:r>
              <w:rPr>
                <w:webHidden/>
              </w:rPr>
              <w:fldChar w:fldCharType="separate"/>
            </w:r>
            <w:r>
              <w:rPr>
                <w:rStyle w:val="Collegamentoindice"/>
              </w:rPr>
              <w:tab/>
              <w:t>9</w:t>
            </w:r>
            <w:r>
              <w:rPr>
                <w:webHidden/>
              </w:rPr>
              <w:fldChar w:fldCharType="end"/>
            </w:r>
          </w:hyperlink>
        </w:p>
        <w:p w14:paraId="0258C8B5" w14:textId="77777777" w:rsidR="00E4739D" w:rsidRDefault="000D6640">
          <w:pPr>
            <w:pStyle w:val="Sommario3"/>
            <w:tabs>
              <w:tab w:val="right" w:leader="dot" w:pos="9628"/>
            </w:tabs>
          </w:pPr>
          <w:hyperlink w:anchor="_Toc226481622">
            <w:r>
              <w:rPr>
                <w:rStyle w:val="Collegamentoindice"/>
                <w:rFonts w:ascii="Bookman Old Style" w:eastAsia="Bookman Old Style" w:hAnsi="Bookman Old Style" w:cs="Bookman Old Style"/>
                <w:webHidden/>
              </w:rPr>
              <w:t>Articolo 2 – Oggetto della definizione agevolata</w:t>
            </w:r>
            <w:r>
              <w:rPr>
                <w:webHidden/>
              </w:rPr>
              <w:fldChar w:fldCharType="begin"/>
            </w:r>
            <w:r>
              <w:rPr>
                <w:webHidden/>
              </w:rPr>
              <w:instrText>PAGEREF _Toc226481622 \h</w:instrText>
            </w:r>
            <w:r>
              <w:rPr>
                <w:webHidden/>
              </w:rPr>
            </w:r>
            <w:r>
              <w:rPr>
                <w:webHidden/>
              </w:rPr>
              <w:fldChar w:fldCharType="separate"/>
            </w:r>
            <w:r>
              <w:rPr>
                <w:rStyle w:val="Collegamentoindice"/>
              </w:rPr>
              <w:tab/>
              <w:t>9</w:t>
            </w:r>
            <w:r>
              <w:rPr>
                <w:webHidden/>
              </w:rPr>
              <w:fldChar w:fldCharType="end"/>
            </w:r>
          </w:hyperlink>
        </w:p>
        <w:p w14:paraId="23188BF1" w14:textId="77777777" w:rsidR="00E4739D" w:rsidRDefault="000D6640">
          <w:pPr>
            <w:pStyle w:val="Sommario3"/>
            <w:tabs>
              <w:tab w:val="right" w:leader="dot" w:pos="9628"/>
            </w:tabs>
          </w:pPr>
          <w:hyperlink w:anchor="_Toc226481623">
            <w:r>
              <w:rPr>
                <w:rStyle w:val="Collegamentoindice"/>
                <w:rFonts w:ascii="Bookman Old Style" w:eastAsia="Bookman Old Style" w:hAnsi="Bookman Old Style" w:cs="Bookman Old Style"/>
                <w:webHidden/>
              </w:rPr>
              <w:t>Articolo 3 – Conciliazione agevolata</w:t>
            </w:r>
            <w:r>
              <w:rPr>
                <w:webHidden/>
              </w:rPr>
              <w:fldChar w:fldCharType="begin"/>
            </w:r>
            <w:r>
              <w:rPr>
                <w:webHidden/>
              </w:rPr>
              <w:instrText>PAGEREF _Toc226481623 \h</w:instrText>
            </w:r>
            <w:r>
              <w:rPr>
                <w:webHidden/>
              </w:rPr>
            </w:r>
            <w:r>
              <w:rPr>
                <w:webHidden/>
              </w:rPr>
              <w:fldChar w:fldCharType="separate"/>
            </w:r>
            <w:r>
              <w:rPr>
                <w:rStyle w:val="Collegamentoindice"/>
              </w:rPr>
              <w:tab/>
              <w:t>9</w:t>
            </w:r>
            <w:r>
              <w:rPr>
                <w:webHidden/>
              </w:rPr>
              <w:fldChar w:fldCharType="end"/>
            </w:r>
          </w:hyperlink>
        </w:p>
        <w:p w14:paraId="7FBD5B44" w14:textId="77777777" w:rsidR="00E4739D" w:rsidRDefault="000D6640">
          <w:pPr>
            <w:pStyle w:val="Sommario3"/>
            <w:tabs>
              <w:tab w:val="right" w:leader="dot" w:pos="9628"/>
            </w:tabs>
          </w:pPr>
          <w:hyperlink w:anchor="_Toc226481624">
            <w:r>
              <w:rPr>
                <w:rStyle w:val="Collegamentoindice"/>
                <w:rFonts w:ascii="Bookman Old Style" w:eastAsia="Bookman Old Style" w:hAnsi="Bookman Old Style" w:cs="Bookman Old Style"/>
                <w:webHidden/>
              </w:rPr>
              <w:t>Articolo 4 – Entrata in vigore</w:t>
            </w:r>
            <w:r>
              <w:rPr>
                <w:webHidden/>
              </w:rPr>
              <w:fldChar w:fldCharType="begin"/>
            </w:r>
            <w:r>
              <w:rPr>
                <w:webHidden/>
              </w:rPr>
              <w:instrText>PAGEREF _Toc226481624 \h</w:instrText>
            </w:r>
            <w:r>
              <w:rPr>
                <w:webHidden/>
              </w:rPr>
            </w:r>
            <w:r>
              <w:rPr>
                <w:webHidden/>
              </w:rPr>
              <w:fldChar w:fldCharType="separate"/>
            </w:r>
            <w:r>
              <w:rPr>
                <w:rStyle w:val="Collegamentoindice"/>
              </w:rPr>
              <w:tab/>
              <w:t>10</w:t>
            </w:r>
            <w:r>
              <w:rPr>
                <w:webHidden/>
              </w:rPr>
              <w:fldChar w:fldCharType="end"/>
            </w:r>
          </w:hyperlink>
        </w:p>
        <w:p w14:paraId="1E6331D2" w14:textId="77777777" w:rsidR="00E4739D" w:rsidRDefault="000D6640">
          <w:r>
            <w:fldChar w:fldCharType="end"/>
          </w:r>
        </w:p>
      </w:sdtContent>
    </w:sdt>
    <w:p w14:paraId="5E7B1157" w14:textId="77777777" w:rsidR="00E4739D" w:rsidRDefault="00E4739D">
      <w:pPr>
        <w:rPr>
          <w:rFonts w:ascii="Bookman Old Style" w:eastAsia="Bookman Old Style" w:hAnsi="Bookman Old Style" w:cs="Bookman Old Style"/>
        </w:rPr>
      </w:pPr>
    </w:p>
    <w:p w14:paraId="32551E75" w14:textId="77777777" w:rsidR="00E4739D" w:rsidRDefault="000D6640">
      <w:pPr>
        <w:spacing w:after="120" w:line="288" w:lineRule="auto"/>
        <w:jc w:val="center"/>
        <w:rPr>
          <w:rFonts w:ascii="Bookman Old Style" w:eastAsia="Bookman Old Style" w:hAnsi="Bookman Old Style" w:cs="Bookman Old Style"/>
        </w:rPr>
      </w:pPr>
      <w:r>
        <w:br w:type="page"/>
      </w:r>
    </w:p>
    <w:p w14:paraId="067E3EE8" w14:textId="77777777" w:rsidR="00E4739D" w:rsidRDefault="000D6640">
      <w:pPr>
        <w:pStyle w:val="Titolo3"/>
        <w:spacing w:after="120" w:line="288" w:lineRule="auto"/>
        <w:rPr>
          <w:rFonts w:ascii="Bookman Old Style" w:eastAsia="Bookman Old Style" w:hAnsi="Bookman Old Style" w:cs="Bookman Old Style"/>
        </w:rPr>
      </w:pPr>
      <w:bookmarkStart w:id="0" w:name="_Toc226481602"/>
      <w:r>
        <w:rPr>
          <w:rFonts w:ascii="Bookman Old Style" w:eastAsia="Bookman Old Style" w:hAnsi="Bookman Old Style" w:cs="Bookman Old Style"/>
        </w:rPr>
        <w:lastRenderedPageBreak/>
        <w:t>PARTE I- DEFINIZIONE AGEVOLATA ENTRATE IN RISCOSSIONE COATTIVA</w:t>
      </w:r>
      <w:bookmarkEnd w:id="0"/>
    </w:p>
    <w:p w14:paraId="343FF9F0" w14:textId="77777777" w:rsidR="00E4739D" w:rsidRDefault="00E4739D">
      <w:pPr>
        <w:spacing w:after="120" w:line="288" w:lineRule="auto"/>
        <w:jc w:val="center"/>
        <w:rPr>
          <w:rFonts w:ascii="Bookman Old Style" w:eastAsia="Bookman Old Style" w:hAnsi="Bookman Old Style" w:cs="Bookman Old Style"/>
        </w:rPr>
      </w:pPr>
    </w:p>
    <w:p w14:paraId="156433BF" w14:textId="77777777" w:rsidR="00E4739D" w:rsidRDefault="000D6640">
      <w:pPr>
        <w:pStyle w:val="Titolo3"/>
        <w:spacing w:after="120" w:line="288" w:lineRule="auto"/>
        <w:jc w:val="both"/>
        <w:rPr>
          <w:rFonts w:ascii="Bookman Old Style" w:eastAsia="Bookman Old Style" w:hAnsi="Bookman Old Style" w:cs="Bookman Old Style"/>
          <w:i/>
          <w:iCs/>
          <w:sz w:val="22"/>
          <w:szCs w:val="22"/>
        </w:rPr>
      </w:pPr>
      <w:bookmarkStart w:id="1" w:name="_Toc226481603"/>
      <w:r>
        <w:rPr>
          <w:rFonts w:ascii="Bookman Old Style" w:eastAsia="Bookman Old Style" w:hAnsi="Bookman Old Style" w:cs="Bookman Old Style"/>
          <w:sz w:val="22"/>
          <w:szCs w:val="22"/>
        </w:rPr>
        <w:t>Articolo 1 - Oggetto del Regolamento</w:t>
      </w:r>
      <w:bookmarkEnd w:id="1"/>
      <w:r>
        <w:rPr>
          <w:rFonts w:ascii="Bookman Old Style" w:eastAsia="Bookman Old Style" w:hAnsi="Bookman Old Style" w:cs="Bookman Old Style"/>
          <w:i/>
          <w:iCs/>
          <w:sz w:val="22"/>
          <w:szCs w:val="22"/>
        </w:rPr>
        <w:t xml:space="preserve"> </w:t>
      </w:r>
    </w:p>
    <w:p w14:paraId="4021EBC5"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1. Il presente regolamento adottato nell'ambito della potestà prevista dall’articolo 52 del decreto legislativo 15 dicembre 1997, n. 446 ed in attuazione dell’articolo 1, commi da 102 a 110 della legge 30 dicembre 2025, n. 199, disciplina la definizione agevolata delle entrate comunali, anche tributarie, non riscosse anche a seguito di provvedimenti di ingiunzioni di pagamento di cui al regio decreto 14 aprile 1910, n. 639, di accertamenti esecutivi di cui all’articolo 1, comma 792, legge 27 dicembre 2019, n. 160, nonché da invito ordinario di pagamento, </w:t>
      </w:r>
      <w:r w:rsidRPr="00D862C5">
        <w:rPr>
          <w:rFonts w:ascii="Bookman Old Style" w:eastAsia="Bookman Old Style" w:hAnsi="Bookman Old Style" w:cs="Bookman Old Style"/>
          <w:color w:val="000000"/>
          <w:highlight w:val="yellow"/>
        </w:rPr>
        <w:t>notificati alla data del 31 dicembre 2025.</w:t>
      </w:r>
    </w:p>
    <w:p w14:paraId="705EC60C"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2. Il presente regolamento si conforma ai principi dello Statuto dei diritti del contribuente di cui alla Legge 27 luglio 2000, n. 212.</w:t>
      </w:r>
    </w:p>
    <w:p w14:paraId="7EE0A042" w14:textId="77777777" w:rsidR="00E4739D" w:rsidRDefault="00E4739D">
      <w:pPr>
        <w:tabs>
          <w:tab w:val="left" w:pos="0"/>
        </w:tabs>
        <w:spacing w:after="120" w:line="288" w:lineRule="auto"/>
        <w:ind w:firstLine="284"/>
        <w:jc w:val="both"/>
        <w:rPr>
          <w:rFonts w:ascii="Bookman Old Style" w:eastAsia="Bookman Old Style" w:hAnsi="Bookman Old Style" w:cs="Bookman Old Style"/>
          <w:color w:val="000000"/>
        </w:rPr>
      </w:pPr>
    </w:p>
    <w:p w14:paraId="0A710562"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2" w:name="_Toc226481604"/>
      <w:r>
        <w:rPr>
          <w:rFonts w:ascii="Bookman Old Style" w:eastAsia="Bookman Old Style" w:hAnsi="Bookman Old Style" w:cs="Bookman Old Style"/>
          <w:sz w:val="22"/>
          <w:szCs w:val="22"/>
        </w:rPr>
        <w:t>Articolo 2 – Oggetto della definizione agevolata</w:t>
      </w:r>
      <w:bookmarkEnd w:id="2"/>
      <w:r>
        <w:rPr>
          <w:rFonts w:ascii="Bookman Old Style" w:eastAsia="Bookman Old Style" w:hAnsi="Bookman Old Style" w:cs="Bookman Old Style"/>
          <w:sz w:val="22"/>
          <w:szCs w:val="22"/>
        </w:rPr>
        <w:t xml:space="preserve"> </w:t>
      </w:r>
    </w:p>
    <w:p w14:paraId="2CE82864"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1. I debiti risultanti da ingiunzioni di pagamento, da accertamenti esecutivi relativi al periodo dal </w:t>
      </w:r>
      <w:r w:rsidRPr="00D862C5">
        <w:rPr>
          <w:rFonts w:ascii="Bookman Old Style" w:eastAsia="Bookman Old Style" w:hAnsi="Bookman Old Style" w:cs="Bookman Old Style"/>
          <w:color w:val="000000"/>
          <w:highlight w:val="red"/>
        </w:rPr>
        <w:t>1° gennaio 2000 al 31 dicembre 2023</w:t>
      </w:r>
      <w:r>
        <w:rPr>
          <w:rFonts w:ascii="Bookman Old Style" w:eastAsia="Bookman Old Style" w:hAnsi="Bookman Old Style" w:cs="Bookman Old Style"/>
          <w:color w:val="000000"/>
        </w:rPr>
        <w:t xml:space="preserve"> possono essere estinti versando le somme dovute a titolo di capitale e quelle maturate a titolo di rimborso delle spese per le procedure esecutive e cautelari e di notificazione degli atti.</w:t>
      </w:r>
    </w:p>
    <w:p w14:paraId="6162491C"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2. Per le sanzioni amministrative, comprese quelle per violazioni del Codice della strada, di cui al decreto legislativo 30 aprile 1992, n. 285, diverse da quelle irrogate per violazioni tributarie, le disposizioni del presente articolo si applicano limitatamente agli interessi, inclusi quelli di mora, alle maggiorazioni di cui all’articolo 27, sesto comma, della legge 24 novembre 1981, n. 689, e alle somme maturate a titolo di oneri della riscossione.</w:t>
      </w:r>
    </w:p>
    <w:p w14:paraId="129BADA3"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4. La definizione agevolata prevista dal presente articolo può riguardare il singolo debito incluso una ingiunzione di pagamento o accertamento esecutivo.</w:t>
      </w:r>
    </w:p>
    <w:p w14:paraId="7961005B"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5. Sono esclusi dalla definizione di cui al comma 1:</w:t>
      </w:r>
    </w:p>
    <w:p w14:paraId="1957A177" w14:textId="77777777" w:rsidR="00E4739D" w:rsidRDefault="000D6640">
      <w:pPr>
        <w:numPr>
          <w:ilvl w:val="0"/>
          <w:numId w:val="3"/>
        </w:numPr>
        <w:tabs>
          <w:tab w:val="left" w:pos="0"/>
        </w:tabs>
        <w:spacing w:line="288" w:lineRule="auto"/>
        <w:jc w:val="both"/>
        <w:rPr>
          <w:color w:val="000000"/>
        </w:rPr>
      </w:pPr>
      <w:r>
        <w:rPr>
          <w:rFonts w:ascii="Bookman Old Style" w:eastAsia="Bookman Old Style" w:hAnsi="Bookman Old Style" w:cs="Bookman Old Style"/>
          <w:color w:val="000000"/>
        </w:rPr>
        <w:t>i crediti derivanti da pronunce di condanna della Corte dei conti;</w:t>
      </w:r>
    </w:p>
    <w:p w14:paraId="51DA1631" w14:textId="77777777" w:rsidR="00E4739D" w:rsidRDefault="000D6640">
      <w:pPr>
        <w:numPr>
          <w:ilvl w:val="0"/>
          <w:numId w:val="3"/>
        </w:numPr>
        <w:tabs>
          <w:tab w:val="left" w:pos="0"/>
        </w:tabs>
        <w:spacing w:line="288" w:lineRule="auto"/>
        <w:jc w:val="both"/>
      </w:pPr>
      <w:r>
        <w:rPr>
          <w:rFonts w:ascii="Bookman Old Style" w:eastAsia="Bookman Old Style" w:hAnsi="Bookman Old Style" w:cs="Bookman Old Style"/>
        </w:rPr>
        <w:t>i carichi già affidati all’Agenzia delle Entrate-Riscossione, che restano disciplinati esclusivamente dall’art. 1, commi da 82 a 101, della Legge n. 199/2025;</w:t>
      </w:r>
    </w:p>
    <w:p w14:paraId="369225FA" w14:textId="77777777" w:rsidR="00E4739D" w:rsidRDefault="000D6640">
      <w:pPr>
        <w:numPr>
          <w:ilvl w:val="0"/>
          <w:numId w:val="3"/>
        </w:numPr>
        <w:tabs>
          <w:tab w:val="left" w:pos="0"/>
        </w:tabs>
        <w:spacing w:after="120" w:line="288" w:lineRule="auto"/>
        <w:jc w:val="both"/>
      </w:pPr>
      <w:r>
        <w:rPr>
          <w:rFonts w:ascii="Bookman Old Style" w:eastAsia="Bookman Old Style" w:hAnsi="Bookman Old Style" w:cs="Bookman Old Style"/>
        </w:rPr>
        <w:t>l’IRAP, le compartecipazioni e le addizionali a tributi erariali, ai sensi dell’art. 1, comma 105, della Legge n. 199/2025.</w:t>
      </w:r>
    </w:p>
    <w:p w14:paraId="1FC7A8EF"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6. Il Comune</w:t>
      </w:r>
      <w:r>
        <w:rPr>
          <w:rFonts w:ascii="Bookman Old Style" w:eastAsia="Bookman Old Style" w:hAnsi="Bookman Old Style" w:cs="Bookman Old Style"/>
          <w:i/>
          <w:iCs/>
          <w:color w:val="000000"/>
        </w:rPr>
        <w:t xml:space="preserve">, </w:t>
      </w:r>
      <w:r>
        <w:rPr>
          <w:rFonts w:ascii="Bookman Old Style" w:eastAsia="Bookman Old Style" w:hAnsi="Bookman Old Style" w:cs="Bookman Old Style"/>
          <w:color w:val="000000"/>
        </w:rPr>
        <w:t>su istanza del debitore da presentarsi entro il 30 settembre, comunica, nei successivi dieci giorni dal ricevimento dell’istanza, l’ammontare delle pendenze del debitore che possono essere oggetto di definizione agevolata.</w:t>
      </w:r>
    </w:p>
    <w:p w14:paraId="49A8ACBE" w14:textId="77777777" w:rsidR="00E4739D" w:rsidRDefault="00E4739D">
      <w:pPr>
        <w:tabs>
          <w:tab w:val="left" w:pos="0"/>
        </w:tabs>
        <w:spacing w:after="120" w:line="288" w:lineRule="auto"/>
        <w:ind w:firstLine="284"/>
        <w:jc w:val="both"/>
        <w:rPr>
          <w:rFonts w:ascii="Bookman Old Style" w:eastAsia="Bookman Old Style" w:hAnsi="Bookman Old Style" w:cs="Bookman Old Style"/>
          <w:color w:val="000000"/>
        </w:rPr>
      </w:pPr>
    </w:p>
    <w:p w14:paraId="66F7DFA5"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3" w:name="_Toc226481605"/>
      <w:r>
        <w:rPr>
          <w:rFonts w:ascii="Bookman Old Style" w:eastAsia="Bookman Old Style" w:hAnsi="Bookman Old Style" w:cs="Bookman Old Style"/>
          <w:sz w:val="22"/>
          <w:szCs w:val="22"/>
        </w:rPr>
        <w:t>Articolo 3 – Dichiarazione di adesione alla definizione agevolata</w:t>
      </w:r>
      <w:bookmarkEnd w:id="3"/>
    </w:p>
    <w:p w14:paraId="4E4BA8FD" w14:textId="77777777" w:rsidR="00E4739D" w:rsidRDefault="000D6640">
      <w:p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ab/>
        <w:t xml:space="preserve">1. Ai fini della definizione di cui all’articolo 2, il debitore manifesta al Comune la sua volontà di avvalersene, rendendo entro il 31 ottobre 2026, apposita dichiarazione, con le </w:t>
      </w:r>
      <w:r>
        <w:rPr>
          <w:rFonts w:ascii="Bookman Old Style" w:eastAsia="Bookman Old Style" w:hAnsi="Bookman Old Style" w:cs="Bookman Old Style"/>
          <w:color w:val="000000"/>
        </w:rPr>
        <w:lastRenderedPageBreak/>
        <w:t xml:space="preserve">modalità e in conformità alla modulistica che lo stesso Comune mette a disposizione sul proprio sito internet nel termine di 15 giorni dall’approvazione del presente regolamento. </w:t>
      </w:r>
    </w:p>
    <w:p w14:paraId="479EC8E7" w14:textId="77777777" w:rsidR="00E4739D" w:rsidRDefault="000D6640">
      <w:pPr>
        <w:tabs>
          <w:tab w:val="left" w:pos="0"/>
        </w:tabs>
        <w:spacing w:after="120" w:line="288" w:lineRule="auto"/>
        <w:jc w:val="both"/>
        <w:rPr>
          <w:rFonts w:ascii="Bookman Old Style" w:eastAsia="Bookman Old Style" w:hAnsi="Bookman Old Style" w:cs="Bookman Old Style"/>
        </w:rPr>
      </w:pPr>
      <w:r>
        <w:rPr>
          <w:rFonts w:ascii="Bookman Old Style" w:eastAsia="Bookman Old Style" w:hAnsi="Bookman Old Style" w:cs="Bookman Old Style"/>
        </w:rPr>
        <w:t>In tale dichiarazione il debitore deve indicare:</w:t>
      </w:r>
    </w:p>
    <w:p w14:paraId="318E1B56" w14:textId="77777777" w:rsidR="00E4739D" w:rsidRDefault="000D6640">
      <w:pPr>
        <w:numPr>
          <w:ilvl w:val="0"/>
          <w:numId w:val="6"/>
        </w:numPr>
        <w:tabs>
          <w:tab w:val="left" w:pos="0"/>
        </w:tabs>
        <w:spacing w:line="288" w:lineRule="auto"/>
        <w:jc w:val="both"/>
        <w:rPr>
          <w:rFonts w:ascii="Bookman Old Style" w:eastAsia="Bookman Old Style" w:hAnsi="Bookman Old Style" w:cs="Bookman Old Style"/>
        </w:rPr>
      </w:pPr>
      <w:r>
        <w:rPr>
          <w:rFonts w:ascii="Bookman Old Style" w:eastAsia="Bookman Old Style" w:hAnsi="Bookman Old Style" w:cs="Bookman Old Style"/>
        </w:rPr>
        <w:t>i dati anagrafici e il codice fiscale del richiedente;</w:t>
      </w:r>
    </w:p>
    <w:p w14:paraId="33BB8EC8" w14:textId="77777777" w:rsidR="00E4739D" w:rsidRDefault="000D6640">
      <w:pPr>
        <w:numPr>
          <w:ilvl w:val="0"/>
          <w:numId w:val="6"/>
        </w:numPr>
        <w:tabs>
          <w:tab w:val="left" w:pos="0"/>
        </w:tabs>
        <w:spacing w:line="288" w:lineRule="auto"/>
        <w:jc w:val="both"/>
        <w:rPr>
          <w:rFonts w:ascii="Bookman Old Style" w:eastAsia="Bookman Old Style" w:hAnsi="Bookman Old Style" w:cs="Bookman Old Style"/>
        </w:rPr>
      </w:pPr>
      <w:r>
        <w:rPr>
          <w:rFonts w:ascii="Bookman Old Style" w:eastAsia="Bookman Old Style" w:hAnsi="Bookman Old Style" w:cs="Bookman Old Style"/>
        </w:rPr>
        <w:t>l’indicazione degli atti per i quali si chiede la definizione agevolata, con specificazione del tributo, dell’annualità e dell’importo;</w:t>
      </w:r>
    </w:p>
    <w:p w14:paraId="3D614EA5" w14:textId="77777777" w:rsidR="00E4739D" w:rsidRDefault="000D6640">
      <w:pPr>
        <w:numPr>
          <w:ilvl w:val="0"/>
          <w:numId w:val="6"/>
        </w:numPr>
        <w:tabs>
          <w:tab w:val="left" w:pos="0"/>
        </w:tabs>
        <w:spacing w:line="288" w:lineRule="auto"/>
        <w:jc w:val="both"/>
        <w:rPr>
          <w:rFonts w:ascii="Bookman Old Style" w:eastAsia="Bookman Old Style" w:hAnsi="Bookman Old Style" w:cs="Bookman Old Style"/>
        </w:rPr>
      </w:pPr>
      <w:r>
        <w:rPr>
          <w:rFonts w:ascii="Bookman Old Style" w:eastAsia="Bookman Old Style" w:hAnsi="Bookman Old Style" w:cs="Bookman Old Style"/>
        </w:rPr>
        <w:t>la scelta tra pagamento in unica soluzione e pagamento rateale, con indicazione del numero di rate richieste;</w:t>
      </w:r>
    </w:p>
    <w:p w14:paraId="5912EE6D" w14:textId="77777777" w:rsidR="00E4739D" w:rsidRDefault="000D6640">
      <w:pPr>
        <w:numPr>
          <w:ilvl w:val="0"/>
          <w:numId w:val="6"/>
        </w:numPr>
        <w:tabs>
          <w:tab w:val="left" w:pos="0"/>
        </w:tabs>
        <w:spacing w:line="288" w:lineRule="auto"/>
        <w:jc w:val="both"/>
        <w:rPr>
          <w:rFonts w:ascii="Bookman Old Style" w:eastAsia="Bookman Old Style" w:hAnsi="Bookman Old Style" w:cs="Bookman Old Style"/>
        </w:rPr>
      </w:pPr>
      <w:r>
        <w:rPr>
          <w:rFonts w:ascii="Bookman Old Style" w:eastAsia="Bookman Old Style" w:hAnsi="Bookman Old Style" w:cs="Bookman Old Style"/>
        </w:rPr>
        <w:t>la dichiarazione di rinuncia ad eventuali ricorsi pendenti relativi agli atti oggetto di definizione, ai sensi dell’art. 8;</w:t>
      </w:r>
    </w:p>
    <w:p w14:paraId="4651A74F" w14:textId="77777777" w:rsidR="00E4739D" w:rsidRDefault="000D6640">
      <w:pPr>
        <w:numPr>
          <w:ilvl w:val="0"/>
          <w:numId w:val="6"/>
        </w:numPr>
        <w:tabs>
          <w:tab w:val="left" w:pos="0"/>
        </w:tabs>
        <w:spacing w:line="288" w:lineRule="auto"/>
        <w:jc w:val="both"/>
        <w:rPr>
          <w:rFonts w:ascii="Bookman Old Style" w:eastAsia="Bookman Old Style" w:hAnsi="Bookman Old Style" w:cs="Bookman Old Style"/>
        </w:rPr>
      </w:pPr>
      <w:r>
        <w:rPr>
          <w:rFonts w:ascii="Bookman Old Style" w:eastAsia="Bookman Old Style" w:hAnsi="Bookman Old Style" w:cs="Bookman Old Style"/>
        </w:rPr>
        <w:t>l’eventuale dichiarazione di rinuncia alla rateizzazione in corso ai sensi dell’art. 4, comma 3;</w:t>
      </w:r>
    </w:p>
    <w:p w14:paraId="458C6820" w14:textId="77777777" w:rsidR="00E4739D" w:rsidRDefault="000D6640">
      <w:pPr>
        <w:numPr>
          <w:ilvl w:val="0"/>
          <w:numId w:val="6"/>
        </w:numPr>
        <w:tabs>
          <w:tab w:val="left" w:pos="0"/>
        </w:tabs>
        <w:spacing w:line="288" w:lineRule="auto"/>
        <w:jc w:val="both"/>
        <w:rPr>
          <w:rFonts w:ascii="Bookman Old Style" w:eastAsia="Bookman Old Style" w:hAnsi="Bookman Old Style" w:cs="Bookman Old Style"/>
        </w:rPr>
      </w:pPr>
      <w:r>
        <w:rPr>
          <w:rFonts w:ascii="Bookman Old Style" w:eastAsia="Bookman Old Style" w:hAnsi="Bookman Old Style" w:cs="Bookman Old Style"/>
        </w:rPr>
        <w:t>l’indirizzo PEC o, in mancanza, altro domicilio digitale ovvero recapito idoneo ai fini delle comunicazioni;</w:t>
      </w:r>
    </w:p>
    <w:p w14:paraId="36837914" w14:textId="77777777" w:rsidR="00E4739D" w:rsidRDefault="000D6640">
      <w:pPr>
        <w:numPr>
          <w:ilvl w:val="0"/>
          <w:numId w:val="6"/>
        </w:numPr>
        <w:tabs>
          <w:tab w:val="left" w:pos="0"/>
        </w:tabs>
        <w:spacing w:after="120" w:line="288" w:lineRule="auto"/>
        <w:jc w:val="both"/>
        <w:rPr>
          <w:rFonts w:ascii="Bookman Old Style" w:eastAsia="Bookman Old Style" w:hAnsi="Bookman Old Style" w:cs="Bookman Old Style"/>
        </w:rPr>
      </w:pPr>
      <w:r>
        <w:rPr>
          <w:rFonts w:ascii="Bookman Old Style" w:eastAsia="Bookman Old Style" w:hAnsi="Bookman Old Style" w:cs="Bookman Old Style"/>
        </w:rPr>
        <w:t>la sottoscrizione del richiedente o del suo legale rappresentante;</w:t>
      </w:r>
    </w:p>
    <w:p w14:paraId="6CC8CBDB" w14:textId="77777777" w:rsidR="00E4739D" w:rsidRPr="00D862C5" w:rsidRDefault="000D6640">
      <w:pPr>
        <w:numPr>
          <w:ilvl w:val="0"/>
          <w:numId w:val="6"/>
        </w:numPr>
        <w:tabs>
          <w:tab w:val="left" w:pos="0"/>
        </w:tabs>
        <w:spacing w:after="120" w:line="288" w:lineRule="auto"/>
        <w:jc w:val="both"/>
        <w:rPr>
          <w:rFonts w:ascii="Bookman Old Style" w:eastAsia="Bookman Old Style" w:hAnsi="Bookman Old Style" w:cs="Bookman Old Style"/>
          <w:highlight w:val="cyan"/>
        </w:rPr>
      </w:pPr>
      <w:r w:rsidRPr="00D862C5">
        <w:rPr>
          <w:rFonts w:ascii="Bookman Old Style" w:eastAsia="Bookman Old Style" w:hAnsi="Bookman Old Style" w:cs="Bookman Old Style"/>
          <w:highlight w:val="cyan"/>
        </w:rPr>
        <w:t>di essere in regola, per i contribuenti che hanno rateizzato i tributi dovuti, con la rateizzazione concessa con i pagamenti alla data del 31 agosto 2026.</w:t>
      </w:r>
    </w:p>
    <w:p w14:paraId="6E41775C" w14:textId="77777777" w:rsidR="00E4739D" w:rsidRDefault="000D6640">
      <w:p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Il contribuente può presentare una o più domande, anche relative a tributi diversi. Ciascuna domanda può riguardare uno o più atti.</w:t>
      </w:r>
    </w:p>
    <w:p w14:paraId="608CE65A"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2. </w:t>
      </w:r>
      <w:r w:rsidRPr="00D862C5">
        <w:rPr>
          <w:rFonts w:ascii="Bookman Old Style" w:eastAsia="Bookman Old Style" w:hAnsi="Bookman Old Style" w:cs="Bookman Old Style"/>
          <w:color w:val="000000"/>
          <w:highlight w:val="green"/>
        </w:rPr>
        <w:t>Il Comune, entro il 10 novembre 2026,</w:t>
      </w:r>
      <w:r>
        <w:rPr>
          <w:rFonts w:ascii="Bookman Old Style" w:eastAsia="Bookman Old Style" w:hAnsi="Bookman Old Style" w:cs="Bookman Old Style"/>
          <w:color w:val="000000"/>
        </w:rPr>
        <w:t xml:space="preserve"> notifica ai debitori che hanno presentato la dichiarazione di cui al comma 1 l’ammontare complessivo delle somme dovute ai fini della definizione, le modalità di pagamento, nonché l’importo delle singole rate, il giorno e il mese di scadenza di ciascuna di esse, attenendosi ai seguenti criteri:</w:t>
      </w:r>
    </w:p>
    <w:p w14:paraId="186DF41F" w14:textId="77777777" w:rsidR="00E4739D" w:rsidRDefault="000D6640">
      <w:pPr>
        <w:pStyle w:val="Paragrafoelenco"/>
        <w:numPr>
          <w:ilvl w:val="0"/>
          <w:numId w:val="4"/>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versamento unico o della prima rata in caso di rateizzazione: entro il 30 novembre 2026;</w:t>
      </w:r>
    </w:p>
    <w:p w14:paraId="4D3B128B" w14:textId="77777777" w:rsidR="00E4739D" w:rsidRDefault="000D6640">
      <w:pPr>
        <w:pStyle w:val="Paragrafoelenco"/>
        <w:numPr>
          <w:ilvl w:val="0"/>
          <w:numId w:val="4"/>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pagamento rateale: massimo 8 rate trimestrali di pari ammontare, con scadenza 28 febbraio (29 se l’anno è bisestile), 31 maggio, 31 agosto e 30 novembre di ogni anno;</w:t>
      </w:r>
    </w:p>
    <w:p w14:paraId="6E432AB2" w14:textId="77777777" w:rsidR="00E4739D" w:rsidRDefault="000D6640">
      <w:pPr>
        <w:pStyle w:val="Paragrafoelenco"/>
        <w:numPr>
          <w:ilvl w:val="0"/>
          <w:numId w:val="4"/>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per importi superiori ad euro 50.000,00, la concessione della rateizzazione, di cui al punto precedente, è subordinata alla presentazione di idonea garanzia fideiussoria;</w:t>
      </w:r>
    </w:p>
    <w:p w14:paraId="21C9E474" w14:textId="77777777" w:rsidR="00E4739D" w:rsidRDefault="000D6640">
      <w:pPr>
        <w:pStyle w:val="Paragrafoelenco"/>
        <w:numPr>
          <w:ilvl w:val="0"/>
          <w:numId w:val="4"/>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i soggetti con ISEE inferiore a euro 10 mila, dietro presentazione di quest’ultima, possono richiedere il pagamento rateale in un massimo di 12 rate trimestrali, con scadenza 28 febbraio (29 se l’anno è bisestile), 31 maggio, 31 agosto e 30 novembre di ogni anno. La prima rata deve essere versata entro il 30 novembre 2026.  </w:t>
      </w:r>
    </w:p>
    <w:p w14:paraId="594DFE4C"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3. Nel caso di versamento dilazionato in rate si applicano, a decorrere dal giorno successivo alla scadenza della prima rata, gli interessi al tasso legale. L’importo minimo di ciascuna rata non può essere inferiore a 50,00 euro;</w:t>
      </w:r>
    </w:p>
    <w:p w14:paraId="20218061"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4. Con la comunicazione di cui al comma 2, il Comune indica anche l'eventuale diniego alla definizione agevolata, totale e parziale. </w:t>
      </w:r>
    </w:p>
    <w:p w14:paraId="4046C9C0" w14:textId="77777777" w:rsidR="00E4739D" w:rsidRDefault="00E4739D">
      <w:pPr>
        <w:tabs>
          <w:tab w:val="left" w:pos="0"/>
        </w:tabs>
        <w:spacing w:after="120" w:line="288" w:lineRule="auto"/>
        <w:ind w:firstLine="284"/>
        <w:jc w:val="both"/>
        <w:rPr>
          <w:rFonts w:ascii="Bookman Old Style" w:eastAsia="Bookman Old Style" w:hAnsi="Bookman Old Style" w:cs="Bookman Old Style"/>
          <w:color w:val="000000"/>
        </w:rPr>
      </w:pPr>
    </w:p>
    <w:p w14:paraId="76B6B3A6"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4" w:name="_Toc226481606"/>
      <w:r>
        <w:rPr>
          <w:rFonts w:ascii="Bookman Old Style" w:eastAsia="Bookman Old Style" w:hAnsi="Bookman Old Style" w:cs="Bookman Old Style"/>
          <w:sz w:val="22"/>
          <w:szCs w:val="22"/>
        </w:rPr>
        <w:t>Articolo 4 – Effetti della definizione agevolata</w:t>
      </w:r>
      <w:bookmarkEnd w:id="4"/>
    </w:p>
    <w:p w14:paraId="5A16CC88"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1. Il pagamento della prima o unica rata delle somme dovute ai fini della definizione determina, limitatamente ai debiti definibili, la revoca automatica dell’eventuale dilazione precedentemente accordata ancora in essere.</w:t>
      </w:r>
    </w:p>
    <w:p w14:paraId="37B16688"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2. In caso di mancato ovvero di insufficiente o tardivo versamento, superiore a cinque giorni rispetto alla scadenza stabilita, del versamento unico o della prima rata, in caso di versamento rateale, la definizione non produce effetti. In tal caso, relativamente ai debiti per i quali la definizione non ha prodotto effetti, i versamenti effettuati sono acquisiti a titolo di acconto ai fini del calcolo dell'importo complessivamente dovuto.</w:t>
      </w:r>
    </w:p>
    <w:p w14:paraId="2BB7432D"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3. In caso di mancato pagamento:</w:t>
      </w:r>
    </w:p>
    <w:p w14:paraId="3098F209" w14:textId="77777777" w:rsidR="00E4739D" w:rsidRDefault="000D6640">
      <w:pPr>
        <w:pStyle w:val="Paragrafoelenco"/>
        <w:numPr>
          <w:ilvl w:val="0"/>
          <w:numId w:val="7"/>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di una rata, diversa dalla prima, entro la scadenza della rata successiva;</w:t>
      </w:r>
    </w:p>
    <w:p w14:paraId="768A1131" w14:textId="77777777" w:rsidR="00E4739D" w:rsidRDefault="000D6640">
      <w:pPr>
        <w:pStyle w:val="Paragrafoelenco"/>
        <w:numPr>
          <w:ilvl w:val="0"/>
          <w:numId w:val="7"/>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dell’ultima rata, entro 90 giorni dalla scadenza,</w:t>
      </w:r>
    </w:p>
    <w:p w14:paraId="29C28169" w14:textId="77777777" w:rsidR="00E4739D" w:rsidRDefault="000D6640">
      <w:pPr>
        <w:tabs>
          <w:tab w:val="left" w:pos="0"/>
        </w:tabs>
        <w:spacing w:after="120" w:line="288" w:lineRule="auto"/>
        <w:ind w:left="720"/>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la definizione decade. In tal caso, relativamente ai debiti per i quali la definizione non ha prodotto effetti, i versamenti effettuati sono acquisiti a titolo di acconto ai fini del calcolo dell'importo complessivamente dovuto.</w:t>
      </w:r>
    </w:p>
    <w:p w14:paraId="25EB4F52" w14:textId="77777777" w:rsidR="00E4739D" w:rsidRDefault="00E4739D">
      <w:pPr>
        <w:tabs>
          <w:tab w:val="left" w:pos="0"/>
        </w:tabs>
        <w:spacing w:after="120" w:line="288" w:lineRule="auto"/>
        <w:ind w:firstLine="284"/>
        <w:jc w:val="both"/>
        <w:rPr>
          <w:rFonts w:ascii="Bookman Old Style" w:eastAsia="Bookman Old Style" w:hAnsi="Bookman Old Style" w:cs="Bookman Old Style"/>
          <w:color w:val="000000"/>
        </w:rPr>
      </w:pPr>
    </w:p>
    <w:p w14:paraId="4F4EBCC7"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5" w:name="_Toc226481607"/>
      <w:r>
        <w:rPr>
          <w:rFonts w:ascii="Bookman Old Style" w:eastAsia="Bookman Old Style" w:hAnsi="Bookman Old Style" w:cs="Bookman Old Style"/>
          <w:sz w:val="22"/>
          <w:szCs w:val="22"/>
        </w:rPr>
        <w:t>Articolo 5 – Definizione agevolata degli importi oggetto di rateizzazione</w:t>
      </w:r>
      <w:bookmarkEnd w:id="5"/>
      <w:r>
        <w:rPr>
          <w:rFonts w:ascii="Bookman Old Style" w:eastAsia="Bookman Old Style" w:hAnsi="Bookman Old Style" w:cs="Bookman Old Style"/>
          <w:sz w:val="22"/>
          <w:szCs w:val="22"/>
        </w:rPr>
        <w:t xml:space="preserve"> </w:t>
      </w:r>
    </w:p>
    <w:p w14:paraId="1AACFCC8"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1. La facoltà di definizione prevista dall’articolo 2 può essere esercitata anche dai debitori che hanno già pagato parzialmente, anche a seguito di provvedimenti di dilazione emessi dal Comune, le somme dovute relativamente alle ingiunzioni di pagamento ed agli accertamenti esecutivi di cui all’articolo 2, comma 2. In tal caso, ai fini della determinazione dell’ammontare delle somme da versare ai sensi dell’articolo 3, comma 2, non si tiene conto degli importi già versati a titolo di sanzioni ed interessi, compresi quelli di dilazione, che restano definitivamente acquisiti e non sono rimborsabili.</w:t>
      </w:r>
    </w:p>
    <w:p w14:paraId="796A3A01"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2. A seguito della presentazione della dichiarazione di cui all’articolo 3, comma 1, sono sospesi, per i debiti oggetto della domanda di definizione, fino alla scadenza della prima o unica rata delle somme dovute, gli obblighi di pagamento derivanti da precedenti dilazioni in essere relativamente alle rate in scadenza in data successiva alla data di presentazione della domanda di definizione.</w:t>
      </w:r>
    </w:p>
    <w:p w14:paraId="7B401EC9" w14:textId="77777777" w:rsidR="00E4739D" w:rsidRDefault="00E4739D">
      <w:pPr>
        <w:tabs>
          <w:tab w:val="left" w:pos="0"/>
        </w:tabs>
        <w:spacing w:after="120" w:line="288" w:lineRule="auto"/>
        <w:ind w:firstLine="284"/>
        <w:jc w:val="both"/>
        <w:rPr>
          <w:rFonts w:ascii="Bookman Old Style" w:eastAsia="Bookman Old Style" w:hAnsi="Bookman Old Style" w:cs="Bookman Old Style"/>
          <w:color w:val="000000"/>
        </w:rPr>
      </w:pPr>
    </w:p>
    <w:p w14:paraId="65EA10E9"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6" w:name="_Toc226481608"/>
      <w:r>
        <w:rPr>
          <w:rFonts w:ascii="Bookman Old Style" w:eastAsia="Bookman Old Style" w:hAnsi="Bookman Old Style" w:cs="Bookman Old Style"/>
          <w:sz w:val="22"/>
          <w:szCs w:val="22"/>
        </w:rPr>
        <w:t>Articolo 6 – Procedure cautelari ed esecutive in corso</w:t>
      </w:r>
      <w:bookmarkEnd w:id="6"/>
      <w:r>
        <w:rPr>
          <w:rFonts w:ascii="Bookman Old Style" w:eastAsia="Bookman Old Style" w:hAnsi="Bookman Old Style" w:cs="Bookman Old Style"/>
          <w:sz w:val="22"/>
          <w:szCs w:val="22"/>
        </w:rPr>
        <w:t xml:space="preserve"> </w:t>
      </w:r>
    </w:p>
    <w:p w14:paraId="5F979947"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1. Il Comune relativamente ai debiti definibili, dopo la presentazione della domanda di cui all’art. 3, comma 1, non può avviare azioni esecutive ovvero iscrivere fermi amministrativi e ipoteche, fatti salvi i fermi amministrativi e le ipoteche già iscritti alla data di presentazione della dichiarazione suddetta, e non può altresì proseguire le procedure di recupero coattivo precedentemente avviate, a condizione che non si sia ancora tenuto il primo incanto con esito positivo.</w:t>
      </w:r>
    </w:p>
    <w:p w14:paraId="55E02271" w14:textId="77777777" w:rsidR="00E4739D" w:rsidRDefault="00E4739D">
      <w:pPr>
        <w:tabs>
          <w:tab w:val="left" w:pos="0"/>
        </w:tabs>
        <w:spacing w:after="120" w:line="288" w:lineRule="auto"/>
        <w:ind w:firstLine="284"/>
        <w:jc w:val="both"/>
        <w:rPr>
          <w:rFonts w:ascii="Bookman Old Style" w:eastAsia="Bookman Old Style" w:hAnsi="Bookman Old Style" w:cs="Bookman Old Style"/>
          <w:color w:val="000000"/>
        </w:rPr>
      </w:pPr>
    </w:p>
    <w:p w14:paraId="1296273D"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7" w:name="_Toc226481609"/>
      <w:r>
        <w:rPr>
          <w:rFonts w:ascii="Bookman Old Style" w:eastAsia="Bookman Old Style" w:hAnsi="Bookman Old Style" w:cs="Bookman Old Style"/>
          <w:sz w:val="22"/>
          <w:szCs w:val="22"/>
        </w:rPr>
        <w:lastRenderedPageBreak/>
        <w:t>Articolo 7 – Rinuncia al contenzioso pendente</w:t>
      </w:r>
      <w:bookmarkEnd w:id="7"/>
      <w:r>
        <w:rPr>
          <w:rFonts w:ascii="Bookman Old Style" w:eastAsia="Bookman Old Style" w:hAnsi="Bookman Old Style" w:cs="Bookman Old Style"/>
          <w:sz w:val="22"/>
          <w:szCs w:val="22"/>
        </w:rPr>
        <w:t xml:space="preserve"> </w:t>
      </w:r>
    </w:p>
    <w:p w14:paraId="256C0F00"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1. Nella dichiarazione di cui all’articolo 3, comma 1, il debitore indica in modo esaustivo l'eventuale pendenza di giudizi aventi ad oggetto i carichi in essa ricompresi e assume l'impegno a rinunciare agli stessi giudizi. Il debitore deposita istanza di rinuncia al contenzioso ai sensi dell’articolo 42 del decreto legislativo 31 dicembre 1992, n. 546, e dal 1° gennaio 2027 ai sensi dell’articolo 93 del decreto legislativo 14 novembre 2024, n. 175, nei trenta giorni successivi alla scadenza del pagamento della prima o unica rata, allegando la relativa quietanza di pagamento. La dichiarazione di volersi avvalere del beneficio della definizione agevolata, allegata all’istanza di rinuncia al ricorso, produce l’effetto di accettazione da parte del Comune della rinuncia al ricorso ed accordo tra le parti per la compensazione delle spese di lite. La mancata indicazione di giudizi in essere comporta l’inefficacia della definizione agevolata con riferimento ai carichi coinvolti.  Nell’ipotesi in cui l’impugnazione sia stata proposta dal Comune, con la presentazione della suddetta dichiarazione il debitore si impegna ad accettare, con compensazione delle spese di lite, l’atto di rinuncia che sarà depositato dal Comune medesimo, allegando la quietanza di pagamento della prima o unica rata.</w:t>
      </w:r>
    </w:p>
    <w:p w14:paraId="3D88438C"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2. Il mancato deposito dell’istanza di rinuncia al ricorso da parte del debitore, o la mancata accettazione della rinuncia dell’ente impositore, determina l’inefficacia della definizione agevolata con riferimento ai debiti di cui al contenzioso in questione ed i versamenti effettuati sono acquisiti a titolo di acconto dell'importo complessivamente dovuto.</w:t>
      </w:r>
    </w:p>
    <w:p w14:paraId="2F9435D1" w14:textId="77777777" w:rsidR="00E4739D" w:rsidRDefault="00E4739D">
      <w:pPr>
        <w:tabs>
          <w:tab w:val="left" w:pos="0"/>
        </w:tabs>
        <w:spacing w:after="120" w:line="288" w:lineRule="auto"/>
        <w:ind w:firstLine="284"/>
        <w:jc w:val="both"/>
        <w:rPr>
          <w:rFonts w:ascii="Bookman Old Style" w:eastAsia="Bookman Old Style" w:hAnsi="Bookman Old Style" w:cs="Bookman Old Style"/>
          <w:color w:val="000000"/>
        </w:rPr>
      </w:pPr>
    </w:p>
    <w:p w14:paraId="63E1523D"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8" w:name="_Toc226481610"/>
      <w:r>
        <w:rPr>
          <w:rFonts w:ascii="Bookman Old Style" w:eastAsia="Bookman Old Style" w:hAnsi="Bookman Old Style" w:cs="Bookman Old Style"/>
          <w:sz w:val="22"/>
          <w:szCs w:val="22"/>
        </w:rPr>
        <w:t>Articolo 8 – Entrata in vigore</w:t>
      </w:r>
      <w:bookmarkEnd w:id="8"/>
    </w:p>
    <w:p w14:paraId="561CDAA8" w14:textId="77777777" w:rsidR="00E4739D" w:rsidRDefault="000D6640">
      <w:pPr>
        <w:spacing w:after="80" w:line="288" w:lineRule="auto"/>
        <w:ind w:firstLine="39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1. Il presente regolamento entra in vigore dalla data di pubblicazione sul sito istituzionale del Comune di Solarino.</w:t>
      </w:r>
    </w:p>
    <w:p w14:paraId="2BFD3979" w14:textId="77777777" w:rsidR="00E4739D" w:rsidRDefault="00E4739D">
      <w:pPr>
        <w:spacing w:after="80" w:line="288" w:lineRule="auto"/>
        <w:ind w:firstLine="397"/>
        <w:jc w:val="both"/>
        <w:rPr>
          <w:rFonts w:ascii="Bookman Old Style" w:eastAsia="Bookman Old Style" w:hAnsi="Bookman Old Style" w:cs="Bookman Old Style"/>
          <w:color w:val="000000"/>
        </w:rPr>
      </w:pPr>
    </w:p>
    <w:p w14:paraId="2C9293A7" w14:textId="77777777" w:rsidR="00E4739D" w:rsidRDefault="000D6640">
      <w:pPr>
        <w:rPr>
          <w:rFonts w:ascii="Bookman Old Style" w:eastAsia="Bookman Old Style" w:hAnsi="Bookman Old Style" w:cs="Bookman Old Style"/>
        </w:rPr>
      </w:pPr>
      <w:r>
        <w:br w:type="page"/>
      </w:r>
    </w:p>
    <w:p w14:paraId="0E372618" w14:textId="77777777" w:rsidR="00E4739D" w:rsidRDefault="000D6640">
      <w:pPr>
        <w:pStyle w:val="Titolo3"/>
        <w:spacing w:after="120" w:line="288" w:lineRule="auto"/>
        <w:rPr>
          <w:rFonts w:ascii="Bookman Old Style" w:eastAsia="Bookman Old Style" w:hAnsi="Bookman Old Style" w:cs="Bookman Old Style"/>
        </w:rPr>
      </w:pPr>
      <w:bookmarkStart w:id="9" w:name="_Toc226481611"/>
      <w:r>
        <w:rPr>
          <w:rFonts w:ascii="Bookman Old Style" w:eastAsia="Bookman Old Style" w:hAnsi="Bookman Old Style" w:cs="Bookman Old Style"/>
        </w:rPr>
        <w:lastRenderedPageBreak/>
        <w:t>PARTE II- DEFINIZIONE AGEVOLATA DELLE LITI PENDENTI</w:t>
      </w:r>
      <w:bookmarkEnd w:id="9"/>
    </w:p>
    <w:p w14:paraId="74BD1193" w14:textId="77777777" w:rsidR="00E4739D" w:rsidRDefault="00E4739D">
      <w:pPr>
        <w:spacing w:after="80" w:line="288" w:lineRule="auto"/>
        <w:rPr>
          <w:rFonts w:ascii="Bookman Old Style" w:eastAsia="Bookman Old Style" w:hAnsi="Bookman Old Style" w:cs="Bookman Old Style"/>
        </w:rPr>
      </w:pPr>
    </w:p>
    <w:p w14:paraId="145830B6"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10" w:name="_Toc226481612"/>
      <w:r>
        <w:rPr>
          <w:rFonts w:ascii="Bookman Old Style" w:eastAsia="Bookman Old Style" w:hAnsi="Bookman Old Style" w:cs="Bookman Old Style"/>
          <w:sz w:val="22"/>
          <w:szCs w:val="22"/>
        </w:rPr>
        <w:t>Articolo 1 - Oggetto del Regolamento</w:t>
      </w:r>
      <w:bookmarkEnd w:id="10"/>
      <w:r>
        <w:rPr>
          <w:rFonts w:ascii="Bookman Old Style" w:eastAsia="Bookman Old Style" w:hAnsi="Bookman Old Style" w:cs="Bookman Old Style"/>
          <w:sz w:val="22"/>
          <w:szCs w:val="22"/>
        </w:rPr>
        <w:t xml:space="preserve"> </w:t>
      </w:r>
    </w:p>
    <w:p w14:paraId="165176C8"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1. Il presente regolamento adottato nell'ambito della potestà prevista dall’articolo 52 del decreto legislativo 15 dicembre 1997, n. 446 ed in attuazione dell’articolo 1, commi da 102 a 110 della legge 30 dicembre 2025, n. 199, </w:t>
      </w:r>
      <w:r w:rsidRPr="00D862C5">
        <w:rPr>
          <w:rFonts w:ascii="Bookman Old Style" w:eastAsia="Bookman Old Style" w:hAnsi="Bookman Old Style" w:cs="Bookman Old Style"/>
          <w:color w:val="000000"/>
          <w:highlight w:val="red"/>
        </w:rPr>
        <w:t>disciplina la definizione agevolata delle controversie tributarie pendenti al 1° gennaio 2026.</w:t>
      </w:r>
    </w:p>
    <w:p w14:paraId="4E46A721" w14:textId="77777777" w:rsidR="00E4739D" w:rsidRDefault="00E4739D">
      <w:pPr>
        <w:tabs>
          <w:tab w:val="left" w:pos="0"/>
        </w:tabs>
        <w:spacing w:after="80" w:line="288" w:lineRule="auto"/>
        <w:ind w:firstLine="284"/>
        <w:jc w:val="both"/>
        <w:rPr>
          <w:rFonts w:ascii="Bookman Old Style" w:eastAsia="Bookman Old Style" w:hAnsi="Bookman Old Style" w:cs="Bookman Old Style"/>
          <w:color w:val="000000"/>
        </w:rPr>
      </w:pPr>
    </w:p>
    <w:p w14:paraId="078679FA"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11" w:name="_Toc226481613"/>
      <w:r>
        <w:rPr>
          <w:rFonts w:ascii="Bookman Old Style" w:eastAsia="Bookman Old Style" w:hAnsi="Bookman Old Style" w:cs="Bookman Old Style"/>
          <w:sz w:val="22"/>
          <w:szCs w:val="22"/>
        </w:rPr>
        <w:t>Articolo 2 – Oggetto della definizione agevolata</w:t>
      </w:r>
      <w:bookmarkEnd w:id="11"/>
      <w:r>
        <w:rPr>
          <w:rFonts w:ascii="Bookman Old Style" w:eastAsia="Bookman Old Style" w:hAnsi="Bookman Old Style" w:cs="Bookman Old Style"/>
          <w:sz w:val="22"/>
          <w:szCs w:val="22"/>
        </w:rPr>
        <w:t xml:space="preserve"> </w:t>
      </w:r>
    </w:p>
    <w:p w14:paraId="4D022F41"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1. Oggetto della definizione agevolata sono le controversie tributarie pendenti, in ogni stato e grado del giudizio, compreso quello in cassazione ed anche a seguito di rinvio, il cui ricorso introduttivo sia stato notificato al Comune impositore entro la data del 1° gennaio 2026. Per Comune impositore si intende:</w:t>
      </w:r>
    </w:p>
    <w:p w14:paraId="67DBBCBC"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ab/>
        <w:t xml:space="preserve">a) il Comune di Solarino, per quanto attiene, l’IMU, TARI, TASI, canoni e consumi afferenti </w:t>
      </w:r>
      <w:proofErr w:type="gramStart"/>
      <w:r>
        <w:rPr>
          <w:rFonts w:ascii="Bookman Old Style" w:eastAsia="Bookman Old Style" w:hAnsi="Bookman Old Style" w:cs="Bookman Old Style"/>
          <w:color w:val="000000"/>
        </w:rPr>
        <w:t>il</w:t>
      </w:r>
      <w:proofErr w:type="gramEnd"/>
      <w:r>
        <w:rPr>
          <w:rFonts w:ascii="Bookman Old Style" w:eastAsia="Bookman Old Style" w:hAnsi="Bookman Old Style" w:cs="Bookman Old Style"/>
          <w:color w:val="000000"/>
        </w:rPr>
        <w:t xml:space="preserve"> servizio idrico integrato, canone unico, violazioni al codice della strada (cds);</w:t>
      </w:r>
    </w:p>
    <w:p w14:paraId="73E45641"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ab/>
        <w:t xml:space="preserve">c) l’Affidatario/Concessionario, per quanto attiene IMU, TARI, TASI, canoni e consumi afferenti </w:t>
      </w:r>
      <w:proofErr w:type="gramStart"/>
      <w:r>
        <w:rPr>
          <w:rFonts w:ascii="Bookman Old Style" w:eastAsia="Bookman Old Style" w:hAnsi="Bookman Old Style" w:cs="Bookman Old Style"/>
          <w:color w:val="000000"/>
        </w:rPr>
        <w:t>il</w:t>
      </w:r>
      <w:proofErr w:type="gramEnd"/>
      <w:r>
        <w:rPr>
          <w:rFonts w:ascii="Bookman Old Style" w:eastAsia="Bookman Old Style" w:hAnsi="Bookman Old Style" w:cs="Bookman Old Style"/>
          <w:color w:val="000000"/>
        </w:rPr>
        <w:t xml:space="preserve"> servizio idrico integrato;</w:t>
      </w:r>
    </w:p>
    <w:p w14:paraId="19CDF347"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2. La definizione agevolata è ammessa per le controversie attribuite alla giurisdizione tributaria in cui è parte il Comune impositore, così come definito dal precedente comma.</w:t>
      </w:r>
    </w:p>
    <w:p w14:paraId="0CFAA16B"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3. La definizione agevolata non è ammessa per le controversie relative ai dinieghi al rimborso, espressi o taciti.</w:t>
      </w:r>
    </w:p>
    <w:p w14:paraId="060F494F" w14:textId="77777777" w:rsidR="00E4739D" w:rsidRDefault="00E4739D">
      <w:pPr>
        <w:tabs>
          <w:tab w:val="left" w:pos="0"/>
        </w:tabs>
        <w:spacing w:after="80" w:line="288" w:lineRule="auto"/>
        <w:ind w:firstLine="284"/>
        <w:jc w:val="both"/>
        <w:rPr>
          <w:rFonts w:ascii="Bookman Old Style" w:eastAsia="Bookman Old Style" w:hAnsi="Bookman Old Style" w:cs="Bookman Old Style"/>
          <w:color w:val="000000"/>
        </w:rPr>
      </w:pPr>
    </w:p>
    <w:p w14:paraId="137C2176"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12" w:name="_Toc226481614"/>
      <w:r>
        <w:rPr>
          <w:rFonts w:ascii="Bookman Old Style" w:eastAsia="Bookman Old Style" w:hAnsi="Bookman Old Style" w:cs="Bookman Old Style"/>
          <w:sz w:val="22"/>
          <w:szCs w:val="22"/>
        </w:rPr>
        <w:t>Articolo 3 – Termini e modalità di presentazione della domanda</w:t>
      </w:r>
      <w:bookmarkEnd w:id="12"/>
      <w:r>
        <w:rPr>
          <w:rFonts w:ascii="Bookman Old Style" w:eastAsia="Bookman Old Style" w:hAnsi="Bookman Old Style" w:cs="Bookman Old Style"/>
          <w:sz w:val="22"/>
          <w:szCs w:val="22"/>
        </w:rPr>
        <w:t xml:space="preserve"> </w:t>
      </w:r>
    </w:p>
    <w:p w14:paraId="1C1C6377"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1. </w:t>
      </w:r>
      <w:r w:rsidRPr="00D862C5">
        <w:rPr>
          <w:rFonts w:ascii="Bookman Old Style" w:eastAsia="Bookman Old Style" w:hAnsi="Bookman Old Style" w:cs="Bookman Old Style"/>
          <w:color w:val="000000"/>
          <w:highlight w:val="red"/>
        </w:rPr>
        <w:t>La domanda di definizione agevolata della controversia di cui all’articolo 2 deve essere presentata entro il 30 settembre 2026.</w:t>
      </w:r>
      <w:r>
        <w:rPr>
          <w:rFonts w:ascii="Bookman Old Style" w:eastAsia="Bookman Old Style" w:hAnsi="Bookman Old Style" w:cs="Bookman Old Style"/>
          <w:color w:val="000000"/>
        </w:rPr>
        <w:t xml:space="preserve"> La domanda, da redigersi su modello predisposto dal Comune e resa disponibile sul proprio sito internet, deve essere inviata tramite posta elettronica certificata o consegnata a mani.</w:t>
      </w:r>
    </w:p>
    <w:p w14:paraId="08209D88"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2. Il contribuente deve presentare una distinta domanda, esente da bollo, per ogni singolo atto impugnato, anche nel caso di ricorso cumulativo o collettivo riguardante più di un atto.</w:t>
      </w:r>
    </w:p>
    <w:p w14:paraId="664820F4" w14:textId="77777777" w:rsidR="00E4739D" w:rsidRDefault="00E4739D">
      <w:pPr>
        <w:tabs>
          <w:tab w:val="left" w:pos="0"/>
        </w:tabs>
        <w:spacing w:after="80" w:line="288" w:lineRule="auto"/>
        <w:ind w:firstLine="284"/>
        <w:jc w:val="both"/>
        <w:rPr>
          <w:rFonts w:ascii="Bookman Old Style" w:eastAsia="Bookman Old Style" w:hAnsi="Bookman Old Style" w:cs="Bookman Old Style"/>
          <w:color w:val="000000"/>
        </w:rPr>
      </w:pPr>
    </w:p>
    <w:p w14:paraId="78251378"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13" w:name="_Toc226481615"/>
      <w:r>
        <w:rPr>
          <w:rFonts w:ascii="Bookman Old Style" w:eastAsia="Bookman Old Style" w:hAnsi="Bookman Old Style" w:cs="Bookman Old Style"/>
          <w:sz w:val="22"/>
          <w:szCs w:val="22"/>
        </w:rPr>
        <w:t>Articolo 4 – Importi dovuti</w:t>
      </w:r>
      <w:bookmarkEnd w:id="13"/>
    </w:p>
    <w:p w14:paraId="4168D2D6"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1. Ai fini della definizione delle controversie di cui all’articolo 2, il soggetto che ha proposto l'atto introduttivo del giudizio, o chi vi è subentrato o ne ha la legittimazione, può definire la controversia tenuto conto dello stato in cui si trovava la controversia e dell’esito delle pronunce depositate entro la data del 1° gennaio 2026. In particolare, la definizione può avvenire col pagamento del solo tributo, qualsiasi sia l’esito delle eventuali sentenze di primo o secondo grado non passate in giudicato alla data di cui all’articolo 3, comma 1.</w:t>
      </w:r>
    </w:p>
    <w:p w14:paraId="6D6D397A"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lastRenderedPageBreak/>
        <w:t>2. Per le controversie relative esclusivamente alle sanzioni collegate al tributo cui si riferiscono, ai fini della definizione non è dovuto alcun importo qualora il rapporto relativo al tributo sia stato definito anche con modalità diverse dalla definizione disciplinata dal presente regolamento. La definizione della lite si realizza con la sola presentazione della domanda di definizione.</w:t>
      </w:r>
    </w:p>
    <w:p w14:paraId="1242E014"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3. Per le controversie relative esclusivamente alle sanzioni non collegate al tributo, sono dovuti i seguenti importi:</w:t>
      </w:r>
    </w:p>
    <w:p w14:paraId="2A9B2254" w14:textId="77777777" w:rsidR="00E4739D" w:rsidRDefault="000D6640">
      <w:pPr>
        <w:numPr>
          <w:ilvl w:val="0"/>
          <w:numId w:val="1"/>
        </w:numPr>
        <w:spacing w:after="80" w:line="288" w:lineRule="auto"/>
        <w:jc w:val="both"/>
        <w:rPr>
          <w:color w:val="000000"/>
        </w:rPr>
      </w:pPr>
      <w:r>
        <w:rPr>
          <w:rFonts w:ascii="Bookman Old Style" w:eastAsia="Bookman Old Style" w:hAnsi="Bookman Old Style" w:cs="Bookman Old Style"/>
          <w:color w:val="000000"/>
        </w:rPr>
        <w:t>il 15% del valore della controversia se il Comune impositore è risultato soccombente nell’ultima o unica pronuncia, non cautelare, depositata entro il 1° gennaio 2026;</w:t>
      </w:r>
    </w:p>
    <w:p w14:paraId="1C80B9CC" w14:textId="77777777" w:rsidR="00E4739D" w:rsidRDefault="000D6640">
      <w:pPr>
        <w:numPr>
          <w:ilvl w:val="0"/>
          <w:numId w:val="1"/>
        </w:numPr>
        <w:spacing w:after="80" w:line="288" w:lineRule="auto"/>
        <w:jc w:val="both"/>
        <w:rPr>
          <w:color w:val="000000"/>
        </w:rPr>
      </w:pPr>
      <w:r>
        <w:rPr>
          <w:rFonts w:ascii="Bookman Old Style" w:eastAsia="Bookman Old Style" w:hAnsi="Bookman Old Style" w:cs="Bookman Old Style"/>
          <w:color w:val="000000"/>
        </w:rPr>
        <w:t>il 40% del valore della controversia negli altri casi;</w:t>
      </w:r>
    </w:p>
    <w:p w14:paraId="11649351" w14:textId="77777777" w:rsidR="00E4739D" w:rsidRDefault="000D6640">
      <w:pPr>
        <w:numPr>
          <w:ilvl w:val="0"/>
          <w:numId w:val="1"/>
        </w:numPr>
        <w:spacing w:after="80" w:line="288" w:lineRule="auto"/>
        <w:jc w:val="both"/>
        <w:rPr>
          <w:color w:val="000000"/>
        </w:rPr>
      </w:pPr>
      <w:r>
        <w:rPr>
          <w:rFonts w:ascii="Bookman Old Style" w:eastAsia="Bookman Old Style" w:hAnsi="Bookman Old Style" w:cs="Bookman Old Style"/>
          <w:color w:val="000000"/>
        </w:rPr>
        <w:t>in caso di soccombenza parziale, è dovuto il 15% del valore della controversia per la parte in cui è risultato soccombente il Comune impositore, ed il 40% per la restante parte.</w:t>
      </w:r>
    </w:p>
    <w:p w14:paraId="5A74337C"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4. Dagli importi dovuti in base ai precedenti commi sono scomputati quelli versati, a qualsiasi titolo, in pendenza di giudizio. La definizione non dà comunque luogo alla restituzione delle somme già versate, se eccedenti rispetto a quanto dovuto per la definizione.</w:t>
      </w:r>
    </w:p>
    <w:p w14:paraId="36E80A91"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5. Gli importi dovuti, di cui ai precedenti commi, sono liquidati direttamente dal contribuente.</w:t>
      </w:r>
    </w:p>
    <w:p w14:paraId="7EEA3370"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6. Qualora non ci siano importi da versare, la definizione si perfeziona con la sola presentazione della domanda.</w:t>
      </w:r>
    </w:p>
    <w:p w14:paraId="79C45CED" w14:textId="77777777" w:rsidR="00E4739D" w:rsidRDefault="000D6640">
      <w:pPr>
        <w:tabs>
          <w:tab w:val="left" w:pos="0"/>
        </w:tabs>
        <w:spacing w:after="8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7. Nel caso in cui sia stata attivata la riscossione coattiva degli importi in contenzioso ed il contribuente non abbia pagato tali importi, il perfezionamento della definizione costituisce titolo per ottenere lo sgravio del ruolo, o dell’ingiunzione di pagamento, o del carico relativo all’accertamento esecutivo, cui la richiesta di definizione si riferisce.</w:t>
      </w:r>
    </w:p>
    <w:p w14:paraId="7D2DD912" w14:textId="77777777" w:rsidR="00E4739D" w:rsidRDefault="00E4739D">
      <w:pPr>
        <w:tabs>
          <w:tab w:val="left" w:pos="0"/>
        </w:tabs>
        <w:spacing w:after="80" w:line="288" w:lineRule="auto"/>
        <w:ind w:firstLine="284"/>
        <w:jc w:val="both"/>
        <w:rPr>
          <w:rFonts w:ascii="Bookman Old Style" w:eastAsia="Bookman Old Style" w:hAnsi="Bookman Old Style" w:cs="Bookman Old Style"/>
          <w:color w:val="000000"/>
        </w:rPr>
      </w:pPr>
    </w:p>
    <w:p w14:paraId="62ED73CF"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14" w:name="_Toc226481616"/>
      <w:r>
        <w:rPr>
          <w:rFonts w:ascii="Bookman Old Style" w:eastAsia="Bookman Old Style" w:hAnsi="Bookman Old Style" w:cs="Bookman Old Style"/>
          <w:sz w:val="22"/>
          <w:szCs w:val="22"/>
        </w:rPr>
        <w:t>Articolo 5 – Perfezionamento della definizione</w:t>
      </w:r>
      <w:bookmarkEnd w:id="14"/>
    </w:p>
    <w:p w14:paraId="4A80B82C" w14:textId="77777777" w:rsidR="00E4739D" w:rsidRDefault="000D6640">
      <w:pPr>
        <w:spacing w:after="80" w:line="288" w:lineRule="auto"/>
        <w:ind w:firstLine="397"/>
        <w:jc w:val="both"/>
        <w:rPr>
          <w:rFonts w:ascii="Bookman Old Style" w:eastAsia="Bookman Old Style" w:hAnsi="Bookman Old Style" w:cs="Bookman Old Style"/>
        </w:rPr>
      </w:pPr>
      <w:r>
        <w:rPr>
          <w:rFonts w:ascii="Bookman Old Style" w:eastAsia="Bookman Old Style" w:hAnsi="Bookman Old Style" w:cs="Bookman Old Style"/>
          <w:color w:val="000000"/>
        </w:rPr>
        <w:t xml:space="preserve">1. La definizione agevolata delle controversie tributarie pendenti si perfeziona con la presentazione della domanda di cui all’articolo 3, comma 1, e con il pagamento degli importi dovuti ai sensi dell’articolo 4, </w:t>
      </w:r>
      <w:r w:rsidRPr="00D862C5">
        <w:rPr>
          <w:rFonts w:ascii="Bookman Old Style" w:eastAsia="Bookman Old Style" w:hAnsi="Bookman Old Style" w:cs="Bookman Old Style"/>
          <w:color w:val="000000"/>
          <w:highlight w:val="red"/>
        </w:rPr>
        <w:t>entro il 30 novembre 2026</w:t>
      </w:r>
      <w:r>
        <w:rPr>
          <w:rFonts w:ascii="Bookman Old Style" w:eastAsia="Bookman Old Style" w:hAnsi="Bookman Old Style" w:cs="Bookman Old Style"/>
          <w:color w:val="000000"/>
        </w:rPr>
        <w:t>, secondo i seguenti criteri:</w:t>
      </w:r>
    </w:p>
    <w:p w14:paraId="47264002" w14:textId="77777777" w:rsidR="00E4739D" w:rsidRDefault="000D6640">
      <w:pPr>
        <w:pStyle w:val="Paragrafoelenco"/>
        <w:numPr>
          <w:ilvl w:val="0"/>
          <w:numId w:val="5"/>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versamento unico o della prima rata in caso di rateizzazione: entro il 30 novembre 2026;</w:t>
      </w:r>
    </w:p>
    <w:p w14:paraId="21726645" w14:textId="77777777" w:rsidR="00E4739D" w:rsidRDefault="000D6640">
      <w:pPr>
        <w:pStyle w:val="Paragrafoelenco"/>
        <w:numPr>
          <w:ilvl w:val="0"/>
          <w:numId w:val="5"/>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pagamento rateale se l’importo è superiore a mille euro: massimo 8 rate trimestrali di pari ammontare, con scadenza 28 febbraio (29 se l’anno è bisestile), 31 maggio, 31 agosto e 30 novembre di ogni anno. L’importo minimo di ciascuna rata non può essere inferiore a 50,00 euro;</w:t>
      </w:r>
    </w:p>
    <w:p w14:paraId="3CCA1ADE" w14:textId="77777777" w:rsidR="00E4739D" w:rsidRDefault="000D6640">
      <w:pPr>
        <w:pStyle w:val="Paragrafoelenco"/>
        <w:numPr>
          <w:ilvl w:val="0"/>
          <w:numId w:val="5"/>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Per importi superiori ad euro 50.000,00, la concessione della rateizzazione, di cui al punto precedente, è subordinata alla presentazione di idonea garanzia fideiussoria;</w:t>
      </w:r>
    </w:p>
    <w:p w14:paraId="30757A29" w14:textId="77777777" w:rsidR="00E4739D" w:rsidRDefault="000D6640">
      <w:pPr>
        <w:spacing w:after="80" w:line="288" w:lineRule="auto"/>
        <w:ind w:firstLine="397"/>
        <w:jc w:val="both"/>
        <w:rPr>
          <w:rFonts w:ascii="Bookman Old Style" w:eastAsia="Bookman Old Style" w:hAnsi="Bookman Old Style" w:cs="Bookman Old Style"/>
          <w:color w:val="000000"/>
        </w:rPr>
      </w:pPr>
      <w:proofErr w:type="gramStart"/>
      <w:r>
        <w:rPr>
          <w:rFonts w:ascii="Bookman Old Style" w:eastAsia="Bookman Old Style" w:hAnsi="Bookman Old Style" w:cs="Bookman Old Style"/>
          <w:color w:val="000000"/>
        </w:rPr>
        <w:t>2 .</w:t>
      </w:r>
      <w:proofErr w:type="gramEnd"/>
      <w:r>
        <w:rPr>
          <w:rFonts w:ascii="Bookman Old Style" w:eastAsia="Bookman Old Style" w:hAnsi="Bookman Old Style" w:cs="Bookman Old Style"/>
          <w:color w:val="000000"/>
        </w:rPr>
        <w:t xml:space="preserve"> In caso di mancato ovvero di insufficiente o tardivo versamento, superiore a cinque giorni rispetto alla scadenza stabilita, del versamento unico o della prima rata, in caso di </w:t>
      </w:r>
      <w:r>
        <w:rPr>
          <w:rFonts w:ascii="Bookman Old Style" w:eastAsia="Bookman Old Style" w:hAnsi="Bookman Old Style" w:cs="Bookman Old Style"/>
          <w:color w:val="000000"/>
        </w:rPr>
        <w:lastRenderedPageBreak/>
        <w:t>versamento rateale, la definizione non produce effetti. In tal caso, relativamente ai debiti per i quali la definizione non ha prodotto effetti, i versamenti effettuati sono acquisiti a titolo di acconto dell'importo complessivamente dovuto.</w:t>
      </w:r>
    </w:p>
    <w:p w14:paraId="25DC439F"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3. In caso di mancato pagamento:</w:t>
      </w:r>
    </w:p>
    <w:p w14:paraId="0E1B049B" w14:textId="77777777" w:rsidR="00E4739D" w:rsidRDefault="000D6640">
      <w:pPr>
        <w:pStyle w:val="Paragrafoelenco"/>
        <w:numPr>
          <w:ilvl w:val="0"/>
          <w:numId w:val="7"/>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di una rata, diversa dalla prima, entro la scadenza della rata successiva;</w:t>
      </w:r>
    </w:p>
    <w:p w14:paraId="3D8C599E" w14:textId="77777777" w:rsidR="00E4739D" w:rsidRDefault="000D6640">
      <w:pPr>
        <w:pStyle w:val="Paragrafoelenco"/>
        <w:numPr>
          <w:ilvl w:val="0"/>
          <w:numId w:val="7"/>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dell’ultima rata, entro 90 giorni dalla scadenza,</w:t>
      </w:r>
    </w:p>
    <w:p w14:paraId="4C56DBCA" w14:textId="77777777" w:rsidR="00E4739D" w:rsidRDefault="000D6640">
      <w:pPr>
        <w:spacing w:after="120" w:line="288" w:lineRule="auto"/>
        <w:ind w:firstLine="39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la definizione decade. In tal caso, relativamente ai debiti per i quali la definizione non ha prodotto effetti, i versamenti effettuati sono acquisiti a titolo di acconto ai fini del calcolo dell'importo complessivamente dovuto;</w:t>
      </w:r>
    </w:p>
    <w:p w14:paraId="3B3AA29C" w14:textId="77777777" w:rsidR="00E4739D" w:rsidRDefault="000D6640">
      <w:pPr>
        <w:spacing w:after="80" w:line="288" w:lineRule="auto"/>
        <w:ind w:firstLine="39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4. Qualora, ai sensi dell’articolo 4, non ci siano importi da versare, la definizione si perfeziona con la sola presentazione della domanda.</w:t>
      </w:r>
    </w:p>
    <w:p w14:paraId="537D066C" w14:textId="77777777" w:rsidR="00E4739D" w:rsidRDefault="000D6640">
      <w:pPr>
        <w:spacing w:after="80" w:line="288" w:lineRule="auto"/>
        <w:ind w:firstLine="39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5. Il contribuente deve effettuare il versamento degli importi dovuti con riferimento ad ogni singolo atto impugnato. Nel modello di domanda, di cui all’articolo 3, saranno rese note anche le modalità di pagamento con riferimento a ciascun tributo comunale.</w:t>
      </w:r>
    </w:p>
    <w:p w14:paraId="7E6C4F92" w14:textId="77777777" w:rsidR="00E4739D" w:rsidRDefault="000D6640">
      <w:pPr>
        <w:spacing w:after="80" w:line="288" w:lineRule="auto"/>
        <w:ind w:firstLine="39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6. La definizione agevolata perfezionata dal coobbligato giova in favore degli altri, compresi quelli per i quali la controversia non sia più pendente.</w:t>
      </w:r>
    </w:p>
    <w:p w14:paraId="1C359B4A" w14:textId="77777777" w:rsidR="00E4739D" w:rsidRDefault="000D6640">
      <w:pPr>
        <w:spacing w:after="80" w:line="288" w:lineRule="auto"/>
        <w:ind w:firstLine="39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7. Non possono essere definite le controversie decise con sentenze definitive alla data di perfezionamento della definizione. </w:t>
      </w:r>
    </w:p>
    <w:p w14:paraId="4F93141D" w14:textId="77777777" w:rsidR="00E4739D" w:rsidRDefault="00E4739D">
      <w:pPr>
        <w:spacing w:after="80" w:line="288" w:lineRule="auto"/>
        <w:jc w:val="both"/>
        <w:rPr>
          <w:rFonts w:ascii="Bookman Old Style" w:eastAsia="Bookman Old Style" w:hAnsi="Bookman Old Style" w:cs="Bookman Old Style"/>
          <w:color w:val="000000"/>
        </w:rPr>
      </w:pPr>
    </w:p>
    <w:p w14:paraId="58777925"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15" w:name="_Toc226481617"/>
      <w:r>
        <w:rPr>
          <w:rFonts w:ascii="Bookman Old Style" w:eastAsia="Bookman Old Style" w:hAnsi="Bookman Old Style" w:cs="Bookman Old Style"/>
          <w:sz w:val="22"/>
          <w:szCs w:val="22"/>
        </w:rPr>
        <w:t>Articolo 6 – Diniego della definizione</w:t>
      </w:r>
      <w:bookmarkEnd w:id="15"/>
    </w:p>
    <w:p w14:paraId="7A6F6DC2" w14:textId="77777777" w:rsidR="00E4739D" w:rsidRDefault="000D6640">
      <w:pPr>
        <w:spacing w:after="80" w:line="288" w:lineRule="auto"/>
        <w:ind w:left="397" w:firstLine="323"/>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 xml:space="preserve">1. L'eventuale diniego della definizione agevolata deve essere notificato entro il sessantesimo giorno dalla data di ricevimento della domanda di cui all’articolo 3, comma 1. </w:t>
      </w:r>
    </w:p>
    <w:p w14:paraId="1FD2AC35" w14:textId="77777777" w:rsidR="00E4739D" w:rsidRDefault="000D6640">
      <w:pPr>
        <w:spacing w:after="80" w:line="288" w:lineRule="auto"/>
        <w:ind w:left="397" w:firstLine="323"/>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2. Il diniego è impugnabile entro sessanta giorni dalla notificazione.</w:t>
      </w:r>
    </w:p>
    <w:p w14:paraId="70252320" w14:textId="77777777" w:rsidR="00E4739D" w:rsidRDefault="00E4739D">
      <w:pPr>
        <w:spacing w:after="80" w:line="288" w:lineRule="auto"/>
        <w:ind w:firstLine="397"/>
        <w:jc w:val="both"/>
        <w:rPr>
          <w:rFonts w:ascii="Bookman Old Style" w:eastAsia="Bookman Old Style" w:hAnsi="Bookman Old Style" w:cs="Bookman Old Style"/>
          <w:color w:val="000000"/>
        </w:rPr>
      </w:pPr>
    </w:p>
    <w:p w14:paraId="5BC17377"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16" w:name="_Toc226481618"/>
      <w:r>
        <w:rPr>
          <w:rFonts w:ascii="Bookman Old Style" w:eastAsia="Bookman Old Style" w:hAnsi="Bookman Old Style" w:cs="Bookman Old Style"/>
          <w:sz w:val="22"/>
          <w:szCs w:val="22"/>
        </w:rPr>
        <w:t>Articolo 7 – Sospensione del processo</w:t>
      </w:r>
      <w:bookmarkEnd w:id="16"/>
    </w:p>
    <w:p w14:paraId="27778B5A" w14:textId="77777777" w:rsidR="00E4739D" w:rsidRDefault="000D6640">
      <w:pPr>
        <w:spacing w:after="80" w:line="288" w:lineRule="auto"/>
        <w:ind w:firstLine="39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1. La richiesta del contribuente di avvalersi della definizione agevolata comporta la sospensione, su istanza di parte, del procedimento giurisdizionale, in qualunque stato e grado questo sia eventualmente pendente, sino al perfezionamento della definizione nei termini di cui all’articolo 5. Successivamente, su istanza di una delle parti, è presentata istanza di estinzione del giudizio e le spese del processo restano a carico della parte che le ha anticipate.</w:t>
      </w:r>
    </w:p>
    <w:p w14:paraId="3029BD7C" w14:textId="77777777" w:rsidR="00E4739D" w:rsidRDefault="00E4739D">
      <w:pPr>
        <w:spacing w:after="80" w:line="288" w:lineRule="auto"/>
        <w:ind w:firstLine="397"/>
        <w:jc w:val="both"/>
        <w:rPr>
          <w:rFonts w:ascii="Bookman Old Style" w:eastAsia="Bookman Old Style" w:hAnsi="Bookman Old Style" w:cs="Bookman Old Style"/>
          <w:color w:val="000000"/>
        </w:rPr>
      </w:pPr>
    </w:p>
    <w:p w14:paraId="4C5703F4"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17" w:name="_Toc226481619"/>
      <w:r>
        <w:rPr>
          <w:rFonts w:ascii="Bookman Old Style" w:eastAsia="Bookman Old Style" w:hAnsi="Bookman Old Style" w:cs="Bookman Old Style"/>
          <w:sz w:val="22"/>
          <w:szCs w:val="22"/>
        </w:rPr>
        <w:t>Articolo 8 – Entrata in vigore</w:t>
      </w:r>
      <w:bookmarkEnd w:id="17"/>
    </w:p>
    <w:p w14:paraId="413F938A" w14:textId="77777777" w:rsidR="00E4739D" w:rsidRDefault="000D6640">
      <w:pPr>
        <w:spacing w:after="80" w:line="288" w:lineRule="auto"/>
        <w:ind w:firstLine="397"/>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1. Il presente regolamento entra in vigore dalla data di pubblicazione sul sito istituzionale del Comune di Solarino.</w:t>
      </w:r>
    </w:p>
    <w:p w14:paraId="3F0BDE30" w14:textId="77777777" w:rsidR="00E4739D" w:rsidRDefault="00E4739D">
      <w:pPr>
        <w:spacing w:after="80" w:line="288" w:lineRule="auto"/>
        <w:ind w:firstLine="397"/>
        <w:jc w:val="both"/>
        <w:rPr>
          <w:rFonts w:ascii="Bookman Old Style" w:eastAsia="Bookman Old Style" w:hAnsi="Bookman Old Style" w:cs="Bookman Old Style"/>
          <w:color w:val="000000"/>
        </w:rPr>
      </w:pPr>
    </w:p>
    <w:p w14:paraId="4557B519" w14:textId="77777777" w:rsidR="00E4739D" w:rsidRDefault="00E4739D">
      <w:pPr>
        <w:spacing w:after="80" w:line="288" w:lineRule="auto"/>
        <w:ind w:firstLine="397"/>
        <w:jc w:val="both"/>
        <w:rPr>
          <w:rFonts w:ascii="Bookman Old Style" w:eastAsia="Bookman Old Style" w:hAnsi="Bookman Old Style" w:cs="Bookman Old Style"/>
          <w:color w:val="000000"/>
        </w:rPr>
      </w:pPr>
    </w:p>
    <w:p w14:paraId="50CB5BDE" w14:textId="77777777" w:rsidR="00E4739D" w:rsidRDefault="00E4739D">
      <w:pPr>
        <w:spacing w:after="80" w:line="288" w:lineRule="auto"/>
        <w:ind w:firstLine="397"/>
        <w:jc w:val="both"/>
        <w:rPr>
          <w:rFonts w:ascii="Bookman Old Style" w:eastAsia="Bookman Old Style" w:hAnsi="Bookman Old Style" w:cs="Bookman Old Style"/>
          <w:color w:val="000000"/>
        </w:rPr>
      </w:pPr>
    </w:p>
    <w:p w14:paraId="2490410C" w14:textId="77777777" w:rsidR="00E4739D" w:rsidRDefault="00E4739D">
      <w:pPr>
        <w:spacing w:after="80" w:line="288" w:lineRule="auto"/>
        <w:ind w:firstLine="397"/>
        <w:jc w:val="both"/>
        <w:rPr>
          <w:rFonts w:ascii="Bookman Old Style" w:eastAsia="Bookman Old Style" w:hAnsi="Bookman Old Style" w:cs="Bookman Old Style"/>
          <w:color w:val="000000"/>
        </w:rPr>
      </w:pPr>
    </w:p>
    <w:p w14:paraId="4D1C2454" w14:textId="77777777" w:rsidR="00E4739D" w:rsidRDefault="00E4739D">
      <w:pPr>
        <w:spacing w:after="80" w:line="288" w:lineRule="auto"/>
        <w:jc w:val="center"/>
        <w:rPr>
          <w:rFonts w:ascii="Bookman Old Style" w:eastAsia="Bookman Old Style" w:hAnsi="Bookman Old Style" w:cs="Bookman Old Style"/>
        </w:rPr>
      </w:pPr>
    </w:p>
    <w:p w14:paraId="4BAA827B" w14:textId="77777777" w:rsidR="00E4739D" w:rsidRDefault="000D6640">
      <w:pPr>
        <w:pStyle w:val="Titolo3"/>
        <w:spacing w:after="120" w:line="288" w:lineRule="auto"/>
      </w:pPr>
      <w:bookmarkStart w:id="18" w:name="_Toc226481620"/>
      <w:r>
        <w:rPr>
          <w:rFonts w:ascii="Bookman Old Style" w:eastAsia="Bookman Old Style" w:hAnsi="Bookman Old Style" w:cs="Bookman Old Style"/>
        </w:rPr>
        <w:t>PARTE III- CONCILIAZIONE AGEVOLATA DEI RICORSI</w:t>
      </w:r>
      <w:bookmarkEnd w:id="18"/>
      <w:r>
        <w:rPr>
          <w:rFonts w:ascii="Bookman Old Style" w:eastAsia="Bookman Old Style" w:hAnsi="Bookman Old Style" w:cs="Bookman Old Style"/>
          <w:i/>
          <w:iCs/>
          <w:sz w:val="22"/>
          <w:szCs w:val="22"/>
        </w:rPr>
        <w:t xml:space="preserve"> </w:t>
      </w:r>
    </w:p>
    <w:p w14:paraId="675C8BF6" w14:textId="77777777" w:rsidR="00E4739D" w:rsidRDefault="00E4739D">
      <w:pPr>
        <w:tabs>
          <w:tab w:val="left" w:pos="0"/>
        </w:tabs>
        <w:spacing w:after="80" w:line="288" w:lineRule="auto"/>
        <w:ind w:firstLine="284"/>
        <w:jc w:val="both"/>
        <w:rPr>
          <w:rFonts w:ascii="Bookman Old Style" w:eastAsia="Bookman Old Style" w:hAnsi="Bookman Old Style" w:cs="Bookman Old Style"/>
          <w:color w:val="000000"/>
        </w:rPr>
      </w:pPr>
    </w:p>
    <w:p w14:paraId="6472500E" w14:textId="77777777" w:rsidR="00E4739D" w:rsidRDefault="000D6640">
      <w:pPr>
        <w:pStyle w:val="Titolo3"/>
        <w:spacing w:after="120" w:line="288" w:lineRule="auto"/>
        <w:jc w:val="both"/>
      </w:pPr>
      <w:bookmarkStart w:id="19" w:name="_Toc226481621"/>
      <w:r>
        <w:rPr>
          <w:rFonts w:ascii="Bookman Old Style" w:eastAsia="Bookman Old Style" w:hAnsi="Bookman Old Style" w:cs="Bookman Old Style"/>
          <w:sz w:val="22"/>
          <w:szCs w:val="22"/>
        </w:rPr>
        <w:t>Articolo 1 - Oggetto del Regolamento</w:t>
      </w:r>
      <w:bookmarkEnd w:id="19"/>
      <w:r>
        <w:rPr>
          <w:rFonts w:ascii="Bookman Old Style" w:eastAsia="Bookman Old Style" w:hAnsi="Bookman Old Style" w:cs="Bookman Old Style"/>
          <w:i/>
          <w:iCs/>
          <w:sz w:val="22"/>
          <w:szCs w:val="22"/>
        </w:rPr>
        <w:t xml:space="preserve"> </w:t>
      </w:r>
    </w:p>
    <w:p w14:paraId="10761450" w14:textId="77777777" w:rsidR="00E4739D" w:rsidRDefault="000D6640">
      <w:pPr>
        <w:tabs>
          <w:tab w:val="left" w:pos="0"/>
        </w:tabs>
        <w:spacing w:after="120" w:line="288" w:lineRule="auto"/>
        <w:ind w:firstLine="284"/>
        <w:jc w:val="both"/>
        <w:rPr>
          <w:rFonts w:ascii="Times New Roman" w:eastAsia="Times New Roman" w:hAnsi="Times New Roman" w:cs="Times New Roman"/>
          <w:color w:val="000000"/>
          <w:sz w:val="24"/>
          <w:szCs w:val="24"/>
        </w:rPr>
      </w:pPr>
      <w:r>
        <w:rPr>
          <w:rFonts w:ascii="Bookman Old Style" w:eastAsia="Bookman Old Style" w:hAnsi="Bookman Old Style" w:cs="Bookman Old Style"/>
          <w:color w:val="000000"/>
        </w:rPr>
        <w:t xml:space="preserve">1. Il presente regolamento adottato nell'ambito della potestà prevista dall’articolo 52 del decreto legislativo 15 dicembre 1997, n. 446 ed in attuazione dell’articolo 1, commi da 102 a 110 della legge 30 dicembre 2025, n. 199, disciplina la definizione agevolata delle controversie tributarie pendenti al </w:t>
      </w:r>
      <w:r w:rsidRPr="00D862C5">
        <w:rPr>
          <w:rFonts w:ascii="Bookman Old Style" w:eastAsia="Bookman Old Style" w:hAnsi="Bookman Old Style" w:cs="Bookman Old Style"/>
          <w:color w:val="000000"/>
          <w:highlight w:val="red"/>
        </w:rPr>
        <w:t>1° gennaio 2026</w:t>
      </w:r>
      <w:r>
        <w:rPr>
          <w:rFonts w:ascii="Bookman Old Style" w:eastAsia="Bookman Old Style" w:hAnsi="Bookman Old Style" w:cs="Bookman Old Style"/>
          <w:color w:val="000000"/>
        </w:rPr>
        <w:t xml:space="preserve"> attraverso l’istituto della conciliazione agevolata.</w:t>
      </w:r>
    </w:p>
    <w:p w14:paraId="1CF5F1C5" w14:textId="77777777" w:rsidR="00E4739D" w:rsidRDefault="00E4739D">
      <w:pPr>
        <w:tabs>
          <w:tab w:val="left" w:pos="0"/>
        </w:tabs>
        <w:spacing w:after="80" w:line="288" w:lineRule="auto"/>
        <w:ind w:firstLine="284"/>
        <w:jc w:val="both"/>
        <w:rPr>
          <w:rFonts w:ascii="Bookman Old Style" w:eastAsia="Bookman Old Style" w:hAnsi="Bookman Old Style" w:cs="Bookman Old Style"/>
          <w:color w:val="000000"/>
        </w:rPr>
      </w:pPr>
    </w:p>
    <w:p w14:paraId="2248C898"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20" w:name="_Toc226481622"/>
      <w:r>
        <w:rPr>
          <w:rFonts w:ascii="Bookman Old Style" w:eastAsia="Bookman Old Style" w:hAnsi="Bookman Old Style" w:cs="Bookman Old Style"/>
          <w:sz w:val="22"/>
          <w:szCs w:val="22"/>
        </w:rPr>
        <w:t>Articolo 2 – Oggetto della definizione agevolata</w:t>
      </w:r>
      <w:bookmarkEnd w:id="20"/>
      <w:r>
        <w:rPr>
          <w:rFonts w:ascii="Bookman Old Style" w:eastAsia="Bookman Old Style" w:hAnsi="Bookman Old Style" w:cs="Bookman Old Style"/>
          <w:sz w:val="22"/>
          <w:szCs w:val="22"/>
        </w:rPr>
        <w:t xml:space="preserve"> </w:t>
      </w:r>
    </w:p>
    <w:p w14:paraId="5D442145" w14:textId="77777777" w:rsidR="00E4739D" w:rsidRDefault="000D6640">
      <w:pPr>
        <w:spacing w:after="80" w:line="288" w:lineRule="auto"/>
        <w:ind w:firstLine="397"/>
        <w:jc w:val="both"/>
        <w:rPr>
          <w:rFonts w:ascii="Garamond" w:eastAsia="Garamond" w:hAnsi="Garamond" w:cs="Garamond"/>
          <w:color w:val="000000"/>
          <w:sz w:val="23"/>
          <w:szCs w:val="23"/>
        </w:rPr>
      </w:pPr>
      <w:r>
        <w:rPr>
          <w:rFonts w:ascii="Bookman Old Style" w:eastAsia="Bookman Old Style" w:hAnsi="Bookman Old Style" w:cs="Bookman Old Style"/>
          <w:color w:val="000000"/>
        </w:rPr>
        <w:t xml:space="preserve">1. Oggetto della definizione agevolata sono le controversie tributarie pendenti, in ogni stato e grado del giudizio, compreso quello in cassazione ed anche a seguito di rinvio, il cui ricorso introduttivo sia stato notificato al Comune impositore </w:t>
      </w:r>
      <w:r w:rsidRPr="00D862C5">
        <w:rPr>
          <w:rFonts w:ascii="Bookman Old Style" w:eastAsia="Bookman Old Style" w:hAnsi="Bookman Old Style" w:cs="Bookman Old Style"/>
          <w:color w:val="000000"/>
          <w:highlight w:val="red"/>
        </w:rPr>
        <w:t>entro la data del 1° gennaio 2026.</w:t>
      </w:r>
    </w:p>
    <w:p w14:paraId="19BD3ACC" w14:textId="77777777" w:rsidR="00E4739D" w:rsidRDefault="00E4739D">
      <w:pPr>
        <w:spacing w:after="80" w:line="288" w:lineRule="auto"/>
        <w:ind w:firstLine="397"/>
        <w:jc w:val="both"/>
        <w:rPr>
          <w:rFonts w:ascii="Bookman Old Style" w:eastAsia="Bookman Old Style" w:hAnsi="Bookman Old Style" w:cs="Bookman Old Style"/>
          <w:color w:val="000000"/>
        </w:rPr>
      </w:pPr>
    </w:p>
    <w:p w14:paraId="0B8558B6"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21" w:name="_Toc226481623"/>
      <w:r>
        <w:rPr>
          <w:rFonts w:ascii="Bookman Old Style" w:eastAsia="Bookman Old Style" w:hAnsi="Bookman Old Style" w:cs="Bookman Old Style"/>
          <w:sz w:val="22"/>
          <w:szCs w:val="22"/>
        </w:rPr>
        <w:t>Articolo 3 – Conciliazione agevolata</w:t>
      </w:r>
      <w:bookmarkEnd w:id="21"/>
    </w:p>
    <w:p w14:paraId="15A9053A" w14:textId="77777777" w:rsidR="00E4739D" w:rsidRDefault="000D6640">
      <w:pPr>
        <w:spacing w:after="80" w:line="288" w:lineRule="auto"/>
        <w:ind w:firstLine="397"/>
        <w:jc w:val="both"/>
        <w:rPr>
          <w:rFonts w:ascii="Garamond" w:eastAsia="Garamond" w:hAnsi="Garamond" w:cs="Garamond"/>
          <w:color w:val="000000"/>
          <w:sz w:val="23"/>
          <w:szCs w:val="23"/>
        </w:rPr>
      </w:pPr>
      <w:r>
        <w:rPr>
          <w:rFonts w:ascii="Bookman Old Style" w:eastAsia="Bookman Old Style" w:hAnsi="Bookman Old Style" w:cs="Bookman Old Style"/>
          <w:color w:val="000000"/>
        </w:rPr>
        <w:t xml:space="preserve">1. </w:t>
      </w:r>
      <w:r w:rsidRPr="00D862C5">
        <w:rPr>
          <w:rFonts w:ascii="Bookman Old Style" w:eastAsia="Bookman Old Style" w:hAnsi="Bookman Old Style" w:cs="Bookman Old Style"/>
          <w:color w:val="000000"/>
          <w:highlight w:val="red"/>
        </w:rPr>
        <w:t>Le controversie pendenti alla data del 1° gennaio 2026 aventi ad oggetto atti impositivi, in cui è parte il Comune impositore, possono essere definite, entro il 30 settembre 2026,</w:t>
      </w:r>
      <w:r>
        <w:rPr>
          <w:rFonts w:ascii="Bookman Old Style" w:eastAsia="Bookman Old Style" w:hAnsi="Bookman Old Style" w:cs="Bookman Old Style"/>
          <w:color w:val="000000"/>
        </w:rPr>
        <w:t xml:space="preserve"> con l'accordo conciliativo di cui all'articolo 48 del decreto legislativo 31 dicembre 1992, n. 546.</w:t>
      </w:r>
    </w:p>
    <w:p w14:paraId="103A4403" w14:textId="77777777" w:rsidR="00E4739D" w:rsidRDefault="000D6640">
      <w:pPr>
        <w:spacing w:after="80" w:line="288" w:lineRule="auto"/>
        <w:ind w:firstLine="397"/>
        <w:jc w:val="both"/>
        <w:rPr>
          <w:rFonts w:ascii="Garamond" w:eastAsia="Garamond" w:hAnsi="Garamond" w:cs="Garamond"/>
          <w:color w:val="000000"/>
          <w:sz w:val="23"/>
          <w:szCs w:val="23"/>
        </w:rPr>
      </w:pPr>
      <w:r>
        <w:rPr>
          <w:rFonts w:ascii="Bookman Old Style" w:eastAsia="Bookman Old Style" w:hAnsi="Bookman Old Style" w:cs="Bookman Old Style"/>
          <w:color w:val="000000"/>
        </w:rPr>
        <w:t>2. All’accordo conciliativo di cui al comma 1 si applicano le sanzioni ridotte a un diciottesimo del minimo previsto dalla legge, gli interessi e gli eventuali accessori.</w:t>
      </w:r>
    </w:p>
    <w:p w14:paraId="264FD493" w14:textId="77777777" w:rsidR="00E4739D" w:rsidRDefault="000D6640">
      <w:pPr>
        <w:spacing w:after="80" w:line="288" w:lineRule="auto"/>
        <w:ind w:firstLine="397"/>
        <w:jc w:val="both"/>
        <w:rPr>
          <w:rFonts w:ascii="Bookman Old Style" w:eastAsia="Bookman Old Style" w:hAnsi="Bookman Old Style" w:cs="Bookman Old Style"/>
        </w:rPr>
      </w:pPr>
      <w:r>
        <w:rPr>
          <w:rFonts w:ascii="Bookman Old Style" w:eastAsia="Bookman Old Style" w:hAnsi="Bookman Old Style" w:cs="Bookman Old Style"/>
        </w:rPr>
        <w:t>3. Il versamento delle somme dovute, effettuato secondo le disposizioni recate dall’articolo 48-ter, commi 2 e 4, del decreto legislativo 31 dicembre 1992, n. 546, deve essere effettuato:</w:t>
      </w:r>
    </w:p>
    <w:p w14:paraId="5F9AC8B1" w14:textId="77777777" w:rsidR="00E4739D" w:rsidRDefault="000D6640">
      <w:pPr>
        <w:numPr>
          <w:ilvl w:val="0"/>
          <w:numId w:val="2"/>
        </w:numPr>
        <w:spacing w:line="288" w:lineRule="auto"/>
        <w:jc w:val="both"/>
        <w:rPr>
          <w:rFonts w:ascii="Bookman Old Style" w:eastAsia="Bookman Old Style" w:hAnsi="Bookman Old Style" w:cs="Bookman Old Style"/>
        </w:rPr>
      </w:pPr>
      <w:r>
        <w:rPr>
          <w:rFonts w:ascii="Bookman Old Style" w:eastAsia="Bookman Old Style" w:hAnsi="Bookman Old Style" w:cs="Bookman Old Style"/>
        </w:rPr>
        <w:t>entro 20 giorni dalla data di sottoscrizione dell’accordo conciliativo;</w:t>
      </w:r>
    </w:p>
    <w:p w14:paraId="50121E78" w14:textId="77777777" w:rsidR="00E4739D" w:rsidRDefault="000D6640">
      <w:pPr>
        <w:numPr>
          <w:ilvl w:val="0"/>
          <w:numId w:val="2"/>
        </w:numPr>
        <w:spacing w:line="288" w:lineRule="auto"/>
        <w:jc w:val="both"/>
        <w:rPr>
          <w:rFonts w:ascii="Bookman Old Style" w:eastAsia="Bookman Old Style" w:hAnsi="Bookman Old Style" w:cs="Bookman Old Style"/>
        </w:rPr>
      </w:pPr>
      <w:r>
        <w:rPr>
          <w:rFonts w:ascii="Bookman Old Style" w:eastAsia="Bookman Old Style" w:hAnsi="Bookman Old Style" w:cs="Bookman Old Style"/>
        </w:rPr>
        <w:t>se l’importo dovuto è superiore a mille euro è ammesso il pagamento rateale, nel numero massimo di otto rate, la prima entro la scadenza di cui al punto precedente, e le restanti, di pari ammontare, con scadenza al giorno 28 febbraio (29 se l’anno è bisestile), 31 maggio, 31 agosto e 30 novembre di ogni anno;</w:t>
      </w:r>
    </w:p>
    <w:p w14:paraId="6227B836" w14:textId="77777777" w:rsidR="00E4739D" w:rsidRDefault="000D6640">
      <w:pPr>
        <w:numPr>
          <w:ilvl w:val="0"/>
          <w:numId w:val="2"/>
        </w:numPr>
        <w:tabs>
          <w:tab w:val="left" w:pos="0"/>
        </w:tabs>
        <w:spacing w:after="120" w:line="288" w:lineRule="auto"/>
        <w:jc w:val="both"/>
        <w:rPr>
          <w:rFonts w:ascii="Bookman Old Style" w:eastAsia="Bookman Old Style" w:hAnsi="Bookman Old Style" w:cs="Bookman Old Style"/>
        </w:rPr>
      </w:pPr>
      <w:r>
        <w:rPr>
          <w:rFonts w:ascii="Bookman Old Style" w:eastAsia="Bookman Old Style" w:hAnsi="Bookman Old Style" w:cs="Bookman Old Style"/>
        </w:rPr>
        <w:t>per importi superiori ad euro 50.000,00, la concessione della rateizzazione, di cui al punto precedente, è subordinata alla presentazione di idonea garanzia fideiussoria.</w:t>
      </w:r>
    </w:p>
    <w:p w14:paraId="28D2C88F" w14:textId="77777777" w:rsidR="00E4739D" w:rsidRDefault="000D6640">
      <w:pPr>
        <w:spacing w:after="80" w:line="288" w:lineRule="auto"/>
        <w:ind w:firstLine="397"/>
        <w:jc w:val="both"/>
        <w:rPr>
          <w:rFonts w:ascii="Bookman Old Style" w:eastAsia="Bookman Old Style" w:hAnsi="Bookman Old Style" w:cs="Bookman Old Style"/>
          <w:color w:val="000000"/>
        </w:rPr>
      </w:pPr>
      <w:r>
        <w:rPr>
          <w:rFonts w:ascii="Bookman Old Style" w:eastAsia="Bookman Old Style" w:hAnsi="Bookman Old Style" w:cs="Bookman Old Style"/>
        </w:rPr>
        <w:t xml:space="preserve">4. Il mancato pagamento entro il termine di cui al comma precedente, del versamento unico o della prima rata, in caso di versamento rateale, comporta la decadenza della definizione agevolata. </w:t>
      </w:r>
      <w:r>
        <w:rPr>
          <w:rFonts w:ascii="Bookman Old Style" w:eastAsia="Bookman Old Style" w:hAnsi="Bookman Old Style" w:cs="Bookman Old Style"/>
          <w:color w:val="000000"/>
        </w:rPr>
        <w:t>In tal caso, i versamenti effettuati sono acquisiti a titolo di acconto dell'importo complessivamente dovuto;</w:t>
      </w:r>
    </w:p>
    <w:p w14:paraId="3964E0BA" w14:textId="77777777" w:rsidR="00E4739D" w:rsidRDefault="000D6640">
      <w:pPr>
        <w:tabs>
          <w:tab w:val="left" w:pos="0"/>
        </w:tabs>
        <w:spacing w:after="120" w:line="288" w:lineRule="auto"/>
        <w:ind w:firstLine="284"/>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5. In caso di mancato pagamento:</w:t>
      </w:r>
    </w:p>
    <w:p w14:paraId="6E0E240C" w14:textId="77777777" w:rsidR="00E4739D" w:rsidRDefault="000D6640">
      <w:pPr>
        <w:pStyle w:val="Paragrafoelenco"/>
        <w:numPr>
          <w:ilvl w:val="0"/>
          <w:numId w:val="7"/>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lastRenderedPageBreak/>
        <w:t>di una rata, diversa dalla prima, entro la scadenza della rata successiva;</w:t>
      </w:r>
    </w:p>
    <w:p w14:paraId="2F89D074" w14:textId="77777777" w:rsidR="00E4739D" w:rsidRDefault="000D6640">
      <w:pPr>
        <w:pStyle w:val="Paragrafoelenco"/>
        <w:numPr>
          <w:ilvl w:val="0"/>
          <w:numId w:val="7"/>
        </w:numPr>
        <w:tabs>
          <w:tab w:val="left" w:pos="0"/>
        </w:tabs>
        <w:spacing w:after="120" w:line="288" w:lineRule="auto"/>
        <w:jc w:val="both"/>
        <w:rPr>
          <w:rFonts w:ascii="Bookman Old Style" w:eastAsia="Bookman Old Style" w:hAnsi="Bookman Old Style" w:cs="Bookman Old Style"/>
          <w:color w:val="000000"/>
        </w:rPr>
      </w:pPr>
      <w:r>
        <w:rPr>
          <w:rFonts w:ascii="Bookman Old Style" w:eastAsia="Bookman Old Style" w:hAnsi="Bookman Old Style" w:cs="Bookman Old Style"/>
          <w:color w:val="000000"/>
        </w:rPr>
        <w:t>dell’ultima rata, entro 90 giorni dalla scadenza,</w:t>
      </w:r>
    </w:p>
    <w:p w14:paraId="550EC1CA" w14:textId="77777777" w:rsidR="00E4739D" w:rsidRDefault="000D6640">
      <w:pPr>
        <w:spacing w:after="80" w:line="288" w:lineRule="auto"/>
        <w:ind w:firstLine="397"/>
        <w:jc w:val="both"/>
        <w:rPr>
          <w:rFonts w:ascii="Bookman Old Style" w:eastAsia="Bookman Old Style" w:hAnsi="Bookman Old Style" w:cs="Bookman Old Style"/>
        </w:rPr>
      </w:pPr>
      <w:r>
        <w:rPr>
          <w:rFonts w:ascii="Bookman Old Style" w:eastAsia="Bookman Old Style" w:hAnsi="Bookman Old Style" w:cs="Bookman Old Style"/>
          <w:color w:val="000000"/>
        </w:rPr>
        <w:t>la definizione decade. In tal caso, relativamente ai debiti per i quali la definizione non ha prodotto effetti, i versamenti effettuati sono acquisiti a titolo di acconto ai fini del calcolo dell'importo complessivamente dovuto.</w:t>
      </w:r>
      <w:r>
        <w:rPr>
          <w:rFonts w:ascii="Bookman Old Style" w:eastAsia="Bookman Old Style" w:hAnsi="Bookman Old Style" w:cs="Bookman Old Style"/>
        </w:rPr>
        <w:tab/>
      </w:r>
    </w:p>
    <w:p w14:paraId="322D3F72" w14:textId="77777777" w:rsidR="00E4739D" w:rsidRDefault="00E4739D">
      <w:pPr>
        <w:spacing w:after="80" w:line="288" w:lineRule="auto"/>
        <w:ind w:firstLine="397"/>
        <w:jc w:val="both"/>
        <w:rPr>
          <w:rFonts w:ascii="Bookman Old Style" w:eastAsia="Bookman Old Style" w:hAnsi="Bookman Old Style" w:cs="Bookman Old Style"/>
          <w:color w:val="000000"/>
        </w:rPr>
      </w:pPr>
    </w:p>
    <w:p w14:paraId="0CE7C2D2" w14:textId="77777777" w:rsidR="00E4739D" w:rsidRDefault="000D6640">
      <w:pPr>
        <w:pStyle w:val="Titolo3"/>
        <w:spacing w:after="120" w:line="288" w:lineRule="auto"/>
        <w:jc w:val="both"/>
        <w:rPr>
          <w:rFonts w:ascii="Bookman Old Style" w:eastAsia="Bookman Old Style" w:hAnsi="Bookman Old Style" w:cs="Bookman Old Style"/>
          <w:sz w:val="22"/>
          <w:szCs w:val="22"/>
        </w:rPr>
      </w:pPr>
      <w:bookmarkStart w:id="22" w:name="_Toc226481624"/>
      <w:r>
        <w:rPr>
          <w:rFonts w:ascii="Bookman Old Style" w:eastAsia="Bookman Old Style" w:hAnsi="Bookman Old Style" w:cs="Bookman Old Style"/>
          <w:sz w:val="22"/>
          <w:szCs w:val="22"/>
        </w:rPr>
        <w:t>Articolo 4 – Entrata in vigore</w:t>
      </w:r>
      <w:bookmarkEnd w:id="22"/>
    </w:p>
    <w:p w14:paraId="3229B3ED" w14:textId="77777777" w:rsidR="00E4739D" w:rsidRDefault="000D6640">
      <w:pPr>
        <w:spacing w:after="80" w:line="288" w:lineRule="auto"/>
        <w:ind w:firstLine="397"/>
        <w:jc w:val="both"/>
        <w:rPr>
          <w:rFonts w:ascii="Garamond" w:eastAsia="Garamond" w:hAnsi="Garamond" w:cs="Garamond"/>
          <w:strike/>
          <w:color w:val="000000"/>
          <w:sz w:val="23"/>
          <w:szCs w:val="23"/>
        </w:rPr>
      </w:pPr>
      <w:r>
        <w:rPr>
          <w:rFonts w:ascii="Bookman Old Style" w:eastAsia="Bookman Old Style" w:hAnsi="Bookman Old Style" w:cs="Bookman Old Style"/>
          <w:color w:val="000000"/>
        </w:rPr>
        <w:t>1 Il presente regolamento entra in vigore dalla data di pubblicazione sul sito istituzionale del Comune di Solarino.</w:t>
      </w:r>
    </w:p>
    <w:sectPr w:rsidR="00E4739D">
      <w:footerReference w:type="even" r:id="rId7"/>
      <w:footerReference w:type="default" r:id="rId8"/>
      <w:footerReference w:type="first" r:id="rId9"/>
      <w:pgSz w:w="11906" w:h="16838"/>
      <w:pgMar w:top="1134" w:right="1134" w:bottom="1560" w:left="1134" w:header="0" w:footer="1134"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BD088" w14:textId="77777777" w:rsidR="00913003" w:rsidRDefault="00913003">
      <w:r>
        <w:separator/>
      </w:r>
    </w:p>
  </w:endnote>
  <w:endnote w:type="continuationSeparator" w:id="0">
    <w:p w14:paraId="28761356" w14:textId="77777777" w:rsidR="00913003" w:rsidRDefault="0091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Arial"/>
    <w:charset w:val="01"/>
    <w:family w:val="swiss"/>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Regular r:id="rId1" w:fontKey="{7A34F53A-B965-401A-B398-A5F56E4F35D5}"/>
  </w:font>
  <w:font w:name="Calibri">
    <w:panose1 w:val="020F0502020204030204"/>
    <w:charset w:val="00"/>
    <w:family w:val="swiss"/>
    <w:pitch w:val="variable"/>
    <w:sig w:usb0="E4002EFF" w:usb1="C200247B" w:usb2="00000009" w:usb3="00000000" w:csb0="000001FF" w:csb1="00000000"/>
    <w:embedRegular r:id="rId2" w:fontKey="{7B1A69D9-E984-437C-9426-C632DE87D440}"/>
    <w:embedBold r:id="rId3" w:fontKey="{EF0594FE-9341-4DB8-B4D0-ED035F5DCEA7}"/>
    <w:embedItalic r:id="rId4" w:fontKey="{F0CB21B0-6BB5-4A71-8EE0-6B8F55E74124}"/>
  </w:font>
  <w:font w:name="Lucida Sans">
    <w:panose1 w:val="020B0602030504020204"/>
    <w:charset w:val="00"/>
    <w:family w:val="swiss"/>
    <w:pitch w:val="variable"/>
    <w:sig w:usb0="00000003" w:usb1="00000000" w:usb2="00000000" w:usb3="00000000" w:csb0="00000001" w:csb1="00000000"/>
    <w:embedRegular r:id="rId5" w:fontKey="{1B4584A0-D25C-4DAD-970C-1A78C35C4BD4}"/>
    <w:embedItalic r:id="rId6" w:fontKey="{DC267392-E216-4401-BB03-FE924F22E13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embedItalic r:id="rId7" w:fontKey="{C661836C-5CC6-4B2E-82D8-7E24A97F2550}"/>
  </w:font>
  <w:font w:name="Bookman Old Style">
    <w:panose1 w:val="02050604050505020204"/>
    <w:charset w:val="00"/>
    <w:family w:val="roman"/>
    <w:pitch w:val="variable"/>
    <w:sig w:usb0="00000287" w:usb1="00000000" w:usb2="00000000" w:usb3="00000000" w:csb0="0000009F" w:csb1="00000000"/>
    <w:embedRegular r:id="rId8" w:fontKey="{B866A67A-FBBD-4FB9-903D-A055468B8FCC}"/>
    <w:embedBold r:id="rId9" w:fontKey="{FF621786-52D4-4BD6-A562-5891D0589C54}"/>
    <w:embedItalic r:id="rId10" w:fontKey="{69B7009B-A117-40FE-AA59-478268F2E4DE}"/>
    <w:embedBoldItalic r:id="rId11" w:fontKey="{3CDF3226-8A6D-498F-AFC7-90544FD354E8}"/>
  </w:font>
  <w:font w:name="Cambria">
    <w:panose1 w:val="02040503050406030204"/>
    <w:charset w:val="00"/>
    <w:family w:val="roman"/>
    <w:pitch w:val="variable"/>
    <w:sig w:usb0="E00006FF" w:usb1="420024FF" w:usb2="02000000" w:usb3="00000000" w:csb0="0000019F" w:csb1="00000000"/>
    <w:embedRegular r:id="rId12" w:fontKey="{324997DB-E06F-4DF1-8F04-4339A3EFBF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A2163" w14:textId="77777777" w:rsidR="00E4739D" w:rsidRDefault="00E473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2574" w14:textId="77777777" w:rsidR="00E4739D" w:rsidRDefault="000D6640">
    <w:pPr>
      <w:tabs>
        <w:tab w:val="center" w:pos="4819"/>
        <w:tab w:val="right" w:pos="9638"/>
      </w:tabs>
      <w:rPr>
        <w:color w:val="000000"/>
      </w:rPr>
    </w:pPr>
    <w:r>
      <w:rPr>
        <w:color w:val="000000"/>
      </w:rPr>
      <w:fldChar w:fldCharType="begin"/>
    </w:r>
    <w:r>
      <w:rPr>
        <w:color w:val="000000"/>
      </w:rPr>
      <w:instrText xml:space="preserve"> PAGE </w:instrText>
    </w:r>
    <w:r>
      <w:rPr>
        <w:color w:val="000000"/>
      </w:rPr>
      <w:fldChar w:fldCharType="separate"/>
    </w:r>
    <w:r w:rsidR="00240308">
      <w:rPr>
        <w:noProof/>
        <w:color w:val="000000"/>
      </w:rPr>
      <w:t>2</w:t>
    </w:r>
    <w:r>
      <w:rPr>
        <w:color w:val="000000"/>
      </w:rPr>
      <w:fldChar w:fldCharType="end"/>
    </w:r>
  </w:p>
  <w:p w14:paraId="7EE3B059" w14:textId="77777777" w:rsidR="00E4739D" w:rsidRDefault="00E4739D">
    <w:pP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24A1A" w14:textId="77777777" w:rsidR="00E4739D" w:rsidRDefault="000D6640">
    <w:pPr>
      <w:tabs>
        <w:tab w:val="center" w:pos="4819"/>
        <w:tab w:val="right" w:pos="9638"/>
      </w:tabs>
      <w:rPr>
        <w:color w:val="000000"/>
      </w:rPr>
    </w:pPr>
    <w:r>
      <w:rPr>
        <w:color w:val="000000"/>
      </w:rPr>
      <w:fldChar w:fldCharType="begin"/>
    </w:r>
    <w:r>
      <w:rPr>
        <w:color w:val="000000"/>
      </w:rPr>
      <w:instrText xml:space="preserve"> PAGE </w:instrText>
    </w:r>
    <w:r>
      <w:rPr>
        <w:color w:val="000000"/>
      </w:rPr>
      <w:fldChar w:fldCharType="separate"/>
    </w:r>
    <w:r>
      <w:rPr>
        <w:color w:val="000000"/>
      </w:rPr>
      <w:t>10</w:t>
    </w:r>
    <w:r>
      <w:rPr>
        <w:color w:val="000000"/>
      </w:rPr>
      <w:fldChar w:fldCharType="end"/>
    </w:r>
  </w:p>
  <w:p w14:paraId="1B11AD93" w14:textId="77777777" w:rsidR="00E4739D" w:rsidRDefault="00E4739D">
    <w:pP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5C1B8" w14:textId="77777777" w:rsidR="00913003" w:rsidRDefault="00913003">
      <w:r>
        <w:separator/>
      </w:r>
    </w:p>
  </w:footnote>
  <w:footnote w:type="continuationSeparator" w:id="0">
    <w:p w14:paraId="3358C6E1" w14:textId="77777777" w:rsidR="00913003" w:rsidRDefault="009130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781"/>
    <w:multiLevelType w:val="multilevel"/>
    <w:tmpl w:val="60087B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9083376"/>
    <w:multiLevelType w:val="multilevel"/>
    <w:tmpl w:val="E6CCA71A"/>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bullet"/>
      <w:lvlText w:val="▪"/>
      <w:lvlJc w:val="left"/>
      <w:pPr>
        <w:tabs>
          <w:tab w:val="num" w:pos="0"/>
        </w:tabs>
        <w:ind w:left="2444" w:hanging="360"/>
      </w:pPr>
      <w:rPr>
        <w:rFonts w:ascii="Noto Sans Symbols" w:hAnsi="Noto Sans Symbols" w:cs="Noto Sans Symbols" w:hint="default"/>
      </w:rPr>
    </w:lvl>
    <w:lvl w:ilvl="3">
      <w:start w:val="1"/>
      <w:numFmt w:val="bullet"/>
      <w:lvlText w:val="●"/>
      <w:lvlJc w:val="left"/>
      <w:pPr>
        <w:tabs>
          <w:tab w:val="num" w:pos="0"/>
        </w:tabs>
        <w:ind w:left="3164" w:hanging="360"/>
      </w:pPr>
      <w:rPr>
        <w:rFonts w:ascii="Noto Sans Symbols" w:hAnsi="Noto Sans Symbols" w:cs="Noto Sans Symbols"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Noto Sans Symbols" w:hAnsi="Noto Sans Symbols" w:cs="Noto Sans Symbols" w:hint="default"/>
      </w:rPr>
    </w:lvl>
    <w:lvl w:ilvl="6">
      <w:start w:val="1"/>
      <w:numFmt w:val="bullet"/>
      <w:lvlText w:val="●"/>
      <w:lvlJc w:val="left"/>
      <w:pPr>
        <w:tabs>
          <w:tab w:val="num" w:pos="0"/>
        </w:tabs>
        <w:ind w:left="5324" w:hanging="360"/>
      </w:pPr>
      <w:rPr>
        <w:rFonts w:ascii="Noto Sans Symbols" w:hAnsi="Noto Sans Symbols" w:cs="Noto Sans Symbols"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Noto Sans Symbols" w:hAnsi="Noto Sans Symbols" w:cs="Noto Sans Symbols" w:hint="default"/>
      </w:rPr>
    </w:lvl>
  </w:abstractNum>
  <w:abstractNum w:abstractNumId="2" w15:restartNumberingAfterBreak="0">
    <w:nsid w:val="0BD64224"/>
    <w:multiLevelType w:val="multilevel"/>
    <w:tmpl w:val="4A54057E"/>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5282744"/>
    <w:multiLevelType w:val="multilevel"/>
    <w:tmpl w:val="1CEE2954"/>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4" w15:restartNumberingAfterBreak="0">
    <w:nsid w:val="32FE6C56"/>
    <w:multiLevelType w:val="multilevel"/>
    <w:tmpl w:val="0118647C"/>
    <w:lvl w:ilvl="0">
      <w:start w:val="1"/>
      <w:numFmt w:val="bullet"/>
      <w:lvlText w:val="●"/>
      <w:lvlJc w:val="left"/>
      <w:pPr>
        <w:tabs>
          <w:tab w:val="num" w:pos="0"/>
        </w:tabs>
        <w:ind w:left="1071" w:hanging="360"/>
      </w:pPr>
      <w:rPr>
        <w:rFonts w:ascii="Noto Sans Symbols" w:hAnsi="Noto Sans Symbols" w:cs="Noto Sans Symbols" w:hint="default"/>
      </w:rPr>
    </w:lvl>
    <w:lvl w:ilvl="1">
      <w:start w:val="1"/>
      <w:numFmt w:val="bullet"/>
      <w:lvlText w:val="o"/>
      <w:lvlJc w:val="left"/>
      <w:pPr>
        <w:tabs>
          <w:tab w:val="num" w:pos="0"/>
        </w:tabs>
        <w:ind w:left="1791" w:hanging="360"/>
      </w:pPr>
      <w:rPr>
        <w:rFonts w:ascii="Courier New" w:hAnsi="Courier New" w:cs="Courier New" w:hint="default"/>
      </w:rPr>
    </w:lvl>
    <w:lvl w:ilvl="2">
      <w:start w:val="1"/>
      <w:numFmt w:val="bullet"/>
      <w:lvlText w:val="▪"/>
      <w:lvlJc w:val="left"/>
      <w:pPr>
        <w:tabs>
          <w:tab w:val="num" w:pos="0"/>
        </w:tabs>
        <w:ind w:left="2511" w:hanging="360"/>
      </w:pPr>
      <w:rPr>
        <w:rFonts w:ascii="Noto Sans Symbols" w:hAnsi="Noto Sans Symbols" w:cs="Noto Sans Symbols" w:hint="default"/>
      </w:rPr>
    </w:lvl>
    <w:lvl w:ilvl="3">
      <w:start w:val="1"/>
      <w:numFmt w:val="bullet"/>
      <w:lvlText w:val="●"/>
      <w:lvlJc w:val="left"/>
      <w:pPr>
        <w:tabs>
          <w:tab w:val="num" w:pos="0"/>
        </w:tabs>
        <w:ind w:left="3231" w:hanging="360"/>
      </w:pPr>
      <w:rPr>
        <w:rFonts w:ascii="Noto Sans Symbols" w:hAnsi="Noto Sans Symbols" w:cs="Noto Sans Symbols" w:hint="default"/>
      </w:rPr>
    </w:lvl>
    <w:lvl w:ilvl="4">
      <w:start w:val="1"/>
      <w:numFmt w:val="bullet"/>
      <w:lvlText w:val="o"/>
      <w:lvlJc w:val="left"/>
      <w:pPr>
        <w:tabs>
          <w:tab w:val="num" w:pos="0"/>
        </w:tabs>
        <w:ind w:left="3951" w:hanging="360"/>
      </w:pPr>
      <w:rPr>
        <w:rFonts w:ascii="Courier New" w:hAnsi="Courier New" w:cs="Courier New" w:hint="default"/>
      </w:rPr>
    </w:lvl>
    <w:lvl w:ilvl="5">
      <w:start w:val="1"/>
      <w:numFmt w:val="bullet"/>
      <w:lvlText w:val="▪"/>
      <w:lvlJc w:val="left"/>
      <w:pPr>
        <w:tabs>
          <w:tab w:val="num" w:pos="0"/>
        </w:tabs>
        <w:ind w:left="4671" w:hanging="360"/>
      </w:pPr>
      <w:rPr>
        <w:rFonts w:ascii="Noto Sans Symbols" w:hAnsi="Noto Sans Symbols" w:cs="Noto Sans Symbols" w:hint="default"/>
      </w:rPr>
    </w:lvl>
    <w:lvl w:ilvl="6">
      <w:start w:val="1"/>
      <w:numFmt w:val="bullet"/>
      <w:lvlText w:val="●"/>
      <w:lvlJc w:val="left"/>
      <w:pPr>
        <w:tabs>
          <w:tab w:val="num" w:pos="0"/>
        </w:tabs>
        <w:ind w:left="5391" w:hanging="360"/>
      </w:pPr>
      <w:rPr>
        <w:rFonts w:ascii="Noto Sans Symbols" w:hAnsi="Noto Sans Symbols" w:cs="Noto Sans Symbols" w:hint="default"/>
      </w:rPr>
    </w:lvl>
    <w:lvl w:ilvl="7">
      <w:start w:val="1"/>
      <w:numFmt w:val="bullet"/>
      <w:lvlText w:val="o"/>
      <w:lvlJc w:val="left"/>
      <w:pPr>
        <w:tabs>
          <w:tab w:val="num" w:pos="0"/>
        </w:tabs>
        <w:ind w:left="6111" w:hanging="360"/>
      </w:pPr>
      <w:rPr>
        <w:rFonts w:ascii="Courier New" w:hAnsi="Courier New" w:cs="Courier New" w:hint="default"/>
      </w:rPr>
    </w:lvl>
    <w:lvl w:ilvl="8">
      <w:start w:val="1"/>
      <w:numFmt w:val="bullet"/>
      <w:lvlText w:val="▪"/>
      <w:lvlJc w:val="left"/>
      <w:pPr>
        <w:tabs>
          <w:tab w:val="num" w:pos="0"/>
        </w:tabs>
        <w:ind w:left="6831" w:hanging="360"/>
      </w:pPr>
      <w:rPr>
        <w:rFonts w:ascii="Noto Sans Symbols" w:hAnsi="Noto Sans Symbols" w:cs="Noto Sans Symbols" w:hint="default"/>
      </w:rPr>
    </w:lvl>
  </w:abstractNum>
  <w:abstractNum w:abstractNumId="5" w15:restartNumberingAfterBreak="0">
    <w:nsid w:val="3E881E0E"/>
    <w:multiLevelType w:val="multilevel"/>
    <w:tmpl w:val="872E8316"/>
    <w:lvl w:ilvl="0">
      <w:start w:val="1"/>
      <w:numFmt w:val="lowerLetter"/>
      <w:lvlText w:val="%1)"/>
      <w:lvlJc w:val="left"/>
      <w:pPr>
        <w:tabs>
          <w:tab w:val="num" w:pos="0"/>
        </w:tabs>
        <w:ind w:left="1117" w:hanging="360"/>
      </w:pPr>
    </w:lvl>
    <w:lvl w:ilvl="1">
      <w:start w:val="1"/>
      <w:numFmt w:val="lowerLetter"/>
      <w:lvlText w:val="%2."/>
      <w:lvlJc w:val="left"/>
      <w:pPr>
        <w:tabs>
          <w:tab w:val="num" w:pos="0"/>
        </w:tabs>
        <w:ind w:left="1837" w:hanging="360"/>
      </w:pPr>
    </w:lvl>
    <w:lvl w:ilvl="2">
      <w:start w:val="1"/>
      <w:numFmt w:val="lowerRoman"/>
      <w:lvlText w:val="%3."/>
      <w:lvlJc w:val="right"/>
      <w:pPr>
        <w:tabs>
          <w:tab w:val="num" w:pos="0"/>
        </w:tabs>
        <w:ind w:left="2557" w:hanging="180"/>
      </w:pPr>
    </w:lvl>
    <w:lvl w:ilvl="3">
      <w:start w:val="1"/>
      <w:numFmt w:val="decimal"/>
      <w:lvlText w:val="%4."/>
      <w:lvlJc w:val="left"/>
      <w:pPr>
        <w:tabs>
          <w:tab w:val="num" w:pos="0"/>
        </w:tabs>
        <w:ind w:left="3277" w:hanging="360"/>
      </w:pPr>
    </w:lvl>
    <w:lvl w:ilvl="4">
      <w:start w:val="1"/>
      <w:numFmt w:val="lowerLetter"/>
      <w:lvlText w:val="%5."/>
      <w:lvlJc w:val="left"/>
      <w:pPr>
        <w:tabs>
          <w:tab w:val="num" w:pos="0"/>
        </w:tabs>
        <w:ind w:left="3997" w:hanging="360"/>
      </w:pPr>
    </w:lvl>
    <w:lvl w:ilvl="5">
      <w:start w:val="1"/>
      <w:numFmt w:val="lowerRoman"/>
      <w:lvlText w:val="%6."/>
      <w:lvlJc w:val="right"/>
      <w:pPr>
        <w:tabs>
          <w:tab w:val="num" w:pos="0"/>
        </w:tabs>
        <w:ind w:left="4717" w:hanging="180"/>
      </w:pPr>
    </w:lvl>
    <w:lvl w:ilvl="6">
      <w:start w:val="1"/>
      <w:numFmt w:val="decimal"/>
      <w:lvlText w:val="%7."/>
      <w:lvlJc w:val="left"/>
      <w:pPr>
        <w:tabs>
          <w:tab w:val="num" w:pos="0"/>
        </w:tabs>
        <w:ind w:left="5437" w:hanging="360"/>
      </w:pPr>
    </w:lvl>
    <w:lvl w:ilvl="7">
      <w:start w:val="1"/>
      <w:numFmt w:val="lowerLetter"/>
      <w:lvlText w:val="%8."/>
      <w:lvlJc w:val="left"/>
      <w:pPr>
        <w:tabs>
          <w:tab w:val="num" w:pos="0"/>
        </w:tabs>
        <w:ind w:left="6157" w:hanging="360"/>
      </w:pPr>
    </w:lvl>
    <w:lvl w:ilvl="8">
      <w:start w:val="1"/>
      <w:numFmt w:val="lowerRoman"/>
      <w:lvlText w:val="%9."/>
      <w:lvlJc w:val="right"/>
      <w:pPr>
        <w:tabs>
          <w:tab w:val="num" w:pos="0"/>
        </w:tabs>
        <w:ind w:left="6877" w:hanging="180"/>
      </w:pPr>
    </w:lvl>
  </w:abstractNum>
  <w:abstractNum w:abstractNumId="6" w15:restartNumberingAfterBreak="0">
    <w:nsid w:val="4E8A4D99"/>
    <w:multiLevelType w:val="multilevel"/>
    <w:tmpl w:val="6F825314"/>
    <w:lvl w:ilvl="0">
      <w:start w:val="7"/>
      <w:numFmt w:val="bullet"/>
      <w:lvlText w:val="-"/>
      <w:lvlJc w:val="left"/>
      <w:pPr>
        <w:tabs>
          <w:tab w:val="num" w:pos="0"/>
        </w:tabs>
        <w:ind w:left="757" w:hanging="360"/>
      </w:pPr>
      <w:rPr>
        <w:rFonts w:ascii="Garamond" w:hAnsi="Garamond" w:cs="Garamond" w:hint="default"/>
      </w:rPr>
    </w:lvl>
    <w:lvl w:ilvl="1">
      <w:start w:val="1"/>
      <w:numFmt w:val="bullet"/>
      <w:lvlText w:val="o"/>
      <w:lvlJc w:val="left"/>
      <w:pPr>
        <w:tabs>
          <w:tab w:val="num" w:pos="0"/>
        </w:tabs>
        <w:ind w:left="1477" w:hanging="360"/>
      </w:pPr>
      <w:rPr>
        <w:rFonts w:ascii="Courier New" w:hAnsi="Courier New" w:cs="Courier New" w:hint="default"/>
      </w:rPr>
    </w:lvl>
    <w:lvl w:ilvl="2">
      <w:start w:val="1"/>
      <w:numFmt w:val="bullet"/>
      <w:lvlText w:val="▪"/>
      <w:lvlJc w:val="left"/>
      <w:pPr>
        <w:tabs>
          <w:tab w:val="num" w:pos="0"/>
        </w:tabs>
        <w:ind w:left="2197" w:hanging="360"/>
      </w:pPr>
      <w:rPr>
        <w:rFonts w:ascii="Noto Sans Symbols" w:hAnsi="Noto Sans Symbols" w:cs="Noto Sans Symbols" w:hint="default"/>
      </w:rPr>
    </w:lvl>
    <w:lvl w:ilvl="3">
      <w:start w:val="1"/>
      <w:numFmt w:val="bullet"/>
      <w:lvlText w:val="●"/>
      <w:lvlJc w:val="left"/>
      <w:pPr>
        <w:tabs>
          <w:tab w:val="num" w:pos="0"/>
        </w:tabs>
        <w:ind w:left="2917" w:hanging="360"/>
      </w:pPr>
      <w:rPr>
        <w:rFonts w:ascii="Noto Sans Symbols" w:hAnsi="Noto Sans Symbols" w:cs="Noto Sans Symbols" w:hint="default"/>
      </w:rPr>
    </w:lvl>
    <w:lvl w:ilvl="4">
      <w:start w:val="1"/>
      <w:numFmt w:val="bullet"/>
      <w:lvlText w:val="o"/>
      <w:lvlJc w:val="left"/>
      <w:pPr>
        <w:tabs>
          <w:tab w:val="num" w:pos="0"/>
        </w:tabs>
        <w:ind w:left="3637" w:hanging="360"/>
      </w:pPr>
      <w:rPr>
        <w:rFonts w:ascii="Courier New" w:hAnsi="Courier New" w:cs="Courier New" w:hint="default"/>
      </w:rPr>
    </w:lvl>
    <w:lvl w:ilvl="5">
      <w:start w:val="1"/>
      <w:numFmt w:val="bullet"/>
      <w:lvlText w:val="▪"/>
      <w:lvlJc w:val="left"/>
      <w:pPr>
        <w:tabs>
          <w:tab w:val="num" w:pos="0"/>
        </w:tabs>
        <w:ind w:left="4357" w:hanging="360"/>
      </w:pPr>
      <w:rPr>
        <w:rFonts w:ascii="Noto Sans Symbols" w:hAnsi="Noto Sans Symbols" w:cs="Noto Sans Symbols" w:hint="default"/>
      </w:rPr>
    </w:lvl>
    <w:lvl w:ilvl="6">
      <w:start w:val="1"/>
      <w:numFmt w:val="bullet"/>
      <w:lvlText w:val="●"/>
      <w:lvlJc w:val="left"/>
      <w:pPr>
        <w:tabs>
          <w:tab w:val="num" w:pos="0"/>
        </w:tabs>
        <w:ind w:left="5077" w:hanging="360"/>
      </w:pPr>
      <w:rPr>
        <w:rFonts w:ascii="Noto Sans Symbols" w:hAnsi="Noto Sans Symbols" w:cs="Noto Sans Symbols" w:hint="default"/>
      </w:rPr>
    </w:lvl>
    <w:lvl w:ilvl="7">
      <w:start w:val="1"/>
      <w:numFmt w:val="bullet"/>
      <w:lvlText w:val="o"/>
      <w:lvlJc w:val="left"/>
      <w:pPr>
        <w:tabs>
          <w:tab w:val="num" w:pos="0"/>
        </w:tabs>
        <w:ind w:left="5797" w:hanging="360"/>
      </w:pPr>
      <w:rPr>
        <w:rFonts w:ascii="Courier New" w:hAnsi="Courier New" w:cs="Courier New" w:hint="default"/>
      </w:rPr>
    </w:lvl>
    <w:lvl w:ilvl="8">
      <w:start w:val="1"/>
      <w:numFmt w:val="bullet"/>
      <w:lvlText w:val="▪"/>
      <w:lvlJc w:val="left"/>
      <w:pPr>
        <w:tabs>
          <w:tab w:val="num" w:pos="0"/>
        </w:tabs>
        <w:ind w:left="6517" w:hanging="360"/>
      </w:pPr>
      <w:rPr>
        <w:rFonts w:ascii="Noto Sans Symbols" w:hAnsi="Noto Sans Symbols" w:cs="Noto Sans Symbols" w:hint="default"/>
      </w:rPr>
    </w:lvl>
  </w:abstractNum>
  <w:abstractNum w:abstractNumId="7" w15:restartNumberingAfterBreak="0">
    <w:nsid w:val="66AE602E"/>
    <w:multiLevelType w:val="multilevel"/>
    <w:tmpl w:val="2CD68BEA"/>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num w:numId="1" w16cid:durableId="1961912691">
    <w:abstractNumId w:val="6"/>
  </w:num>
  <w:num w:numId="2" w16cid:durableId="2034766547">
    <w:abstractNumId w:val="5"/>
  </w:num>
  <w:num w:numId="3" w16cid:durableId="478810547">
    <w:abstractNumId w:val="4"/>
  </w:num>
  <w:num w:numId="4" w16cid:durableId="98187873">
    <w:abstractNumId w:val="3"/>
  </w:num>
  <w:num w:numId="5" w16cid:durableId="2083015892">
    <w:abstractNumId w:val="7"/>
  </w:num>
  <w:num w:numId="6" w16cid:durableId="1808545480">
    <w:abstractNumId w:val="1"/>
  </w:num>
  <w:num w:numId="7" w16cid:durableId="1409185705">
    <w:abstractNumId w:val="2"/>
  </w:num>
  <w:num w:numId="8" w16cid:durableId="1306661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39D"/>
    <w:rsid w:val="000D6640"/>
    <w:rsid w:val="00240308"/>
    <w:rsid w:val="002E35EA"/>
    <w:rsid w:val="00913003"/>
    <w:rsid w:val="00D862C5"/>
    <w:rsid w:val="00E4739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752D0"/>
  <w15:docId w15:val="{7E1DB9A3-914F-4FC6-BCE1-5E65915F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unhideWhenUsed/>
    <w:qFormat/>
    <w:pPr>
      <w:keepNext/>
      <w:jc w:val="center"/>
      <w:outlineLvl w:val="2"/>
    </w:pPr>
    <w:rPr>
      <w:rFonts w:ascii="Times New Roman" w:eastAsia="Times New Roman" w:hAnsi="Times New Roman" w:cs="Times New Roman"/>
      <w:b/>
      <w:bCs/>
      <w:sz w:val="24"/>
      <w:szCs w:val="24"/>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D2E0D"/>
    <w:rPr>
      <w:color w:val="0000FF" w:themeColor="hyperlink"/>
      <w:u w:val="single"/>
    </w:rPr>
  </w:style>
  <w:style w:type="character" w:customStyle="1" w:styleId="Collegamentoindiceuser">
    <w:name w:val="Collegamento indice (user)"/>
    <w:qFormat/>
  </w:style>
  <w:style w:type="character" w:customStyle="1" w:styleId="Collegamentoindice">
    <w:name w:val="Collegamento indice"/>
    <w:qFormat/>
  </w:style>
  <w:style w:type="paragraph" w:styleId="Titolo">
    <w:name w:val="Title"/>
    <w:basedOn w:val="Normale"/>
    <w:next w:val="Corpotesto"/>
    <w:uiPriority w:val="10"/>
    <w:qFormat/>
    <w:pPr>
      <w:jc w:val="center"/>
    </w:pPr>
    <w:rPr>
      <w:rFonts w:ascii="Times New Roman" w:eastAsia="Times New Roman" w:hAnsi="Times New Roman" w:cs="Times New Roman"/>
      <w:b/>
      <w:bCs/>
      <w:sz w:val="20"/>
      <w:szCs w:val="20"/>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styleId="Paragrafoelenco">
    <w:name w:val="List Paragraph"/>
    <w:basedOn w:val="Normale"/>
    <w:uiPriority w:val="34"/>
    <w:qFormat/>
    <w:rsid w:val="00823564"/>
    <w:pPr>
      <w:ind w:left="720"/>
      <w:contextualSpacing/>
    </w:pPr>
  </w:style>
  <w:style w:type="paragraph" w:styleId="Titoloindice">
    <w:name w:val="index heading"/>
    <w:basedOn w:val="Titolouser"/>
  </w:style>
  <w:style w:type="paragraph" w:styleId="Titolosommario">
    <w:name w:val="TOC Heading"/>
    <w:basedOn w:val="Titolo1"/>
    <w:next w:val="Normale"/>
    <w:uiPriority w:val="39"/>
    <w:unhideWhenUsed/>
    <w:qFormat/>
    <w:rsid w:val="008D2E0D"/>
    <w:pPr>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Sommario3">
    <w:name w:val="toc 3"/>
    <w:basedOn w:val="Normale"/>
    <w:next w:val="Normale"/>
    <w:autoRedefine/>
    <w:uiPriority w:val="39"/>
    <w:unhideWhenUsed/>
    <w:rsid w:val="008D2E0D"/>
    <w:pPr>
      <w:spacing w:after="100"/>
      <w:ind w:left="440"/>
    </w:pPr>
  </w:style>
  <w:style w:type="paragraph" w:customStyle="1" w:styleId="Intestazioneepidipaginauser">
    <w:name w:val="Intestazione e piè di pagina (user)"/>
    <w:basedOn w:val="Normale"/>
    <w:qFormat/>
  </w:style>
  <w:style w:type="paragraph" w:customStyle="1" w:styleId="Intestazioneepidipagina">
    <w:name w:val="Intestazione e piè di pagina"/>
    <w:basedOn w:val="Normale"/>
    <w:qFormat/>
  </w:style>
  <w:style w:type="paragraph" w:styleId="Pidipagina">
    <w:name w:val="footer"/>
    <w:basedOn w:val="Intestazioneepidipaginauser"/>
  </w:style>
  <w:style w:type="numbering" w:customStyle="1" w:styleId="Nessunelencouser">
    <w:name w:val="Nessun elenco (user)"/>
    <w:uiPriority w:val="99"/>
    <w:semiHidden/>
    <w:unhideWhenUsed/>
    <w:qFormat/>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3453</Words>
  <Characters>19683</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ALIANO SALVATORE</dc:creator>
  <dc:description/>
  <cp:lastModifiedBy>Francesco Chinnici</cp:lastModifiedBy>
  <cp:revision>3</cp:revision>
  <cp:lastPrinted>2026-04-10T13:07:00Z</cp:lastPrinted>
  <dcterms:created xsi:type="dcterms:W3CDTF">2026-05-08T10:31:00Z</dcterms:created>
  <dcterms:modified xsi:type="dcterms:W3CDTF">2026-09-21T06:57:00Z</dcterms:modified>
  <dc:language>it-IT</dc:language>
</cp:coreProperties>
</file>